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6"/>
        <w:ind w:firstLine="2891"/>
        <w:jc w:val="both"/>
        <w:pageBreakBefore w:val="0"/>
        <w:spacing w:line="360" w:lineRule="auto"/>
        <w:rPr>
          <w:rFonts w:hint="eastAsia" w:ascii="新宋体" w:hAnsi="新宋体" w:eastAsia="新宋体"/>
          <w:b/>
          <w:bCs/>
          <w:color w:val="auto"/>
          <w:sz w:val="144"/>
          <w:szCs w:val="144"/>
          <w:highlight w:val="none"/>
        </w:rPr>
      </w:pPr>
      <w:r>
        <w:rPr>
          <w:rFonts w:hint="eastAsia" w:ascii="新宋体" w:hAnsi="新宋体" w:eastAsia="新宋体"/>
          <w:b/>
          <w:bCs/>
          <w:color w:val="auto"/>
          <w:sz w:val="144"/>
          <w:szCs w:val="144"/>
          <w:highlight w:val="none"/>
        </w:rPr>
      </w:r>
      <w:r/>
    </w:p>
    <w:p>
      <w:pPr>
        <w:pStyle w:val="1176"/>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76"/>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7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6"/>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养护机械设备采购项目</w:t>
      </w:r>
      <w:r/>
    </w:p>
    <w:p>
      <w:pPr>
        <w:pStyle w:val="117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JSZC-321200-HQGC-C2025-0059</w:t>
      </w:r>
      <w:r/>
    </w:p>
    <w:p>
      <w:pPr>
        <w:pStyle w:val="1176"/>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泰州市公路事业发展中心</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采购代理：江苏华强工程投资管理咨询有限公司</w:t>
      </w:r>
      <w:r/>
    </w:p>
    <w:p>
      <w:pPr>
        <w:pStyle w:val="1176"/>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2025年</w:t>
      </w:r>
      <w:r>
        <w:rPr>
          <w:rFonts w:hint="eastAsia" w:ascii="新宋体" w:hAnsi="新宋体" w:eastAsia="新宋体"/>
          <w:b/>
          <w:bCs/>
          <w:color w:val="auto"/>
          <w:sz w:val="32"/>
          <w:szCs w:val="32"/>
          <w:highlight w:val="none"/>
          <w:lang w:val="en-US" w:eastAsia="zh-CN"/>
        </w:rPr>
        <w:t xml:space="preserve">11</w:t>
      </w:r>
      <w:r>
        <w:rPr>
          <w:rFonts w:hint="eastAsia" w:ascii="新宋体" w:hAnsi="新宋体" w:eastAsia="新宋体"/>
          <w:b/>
          <w:bCs/>
          <w:color w:val="auto"/>
          <w:sz w:val="32"/>
          <w:szCs w:val="32"/>
          <w:highlight w:val="none"/>
        </w:rPr>
        <w:t xml:space="preserve">月</w:t>
      </w:r>
      <w:r/>
    </w:p>
    <w:p>
      <w:pPr>
        <w:pStyle w:val="1176"/>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6"/>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77"/>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164"/>
        <w:pageBreakBefore w:val="0"/>
        <w:spacing w:line="360" w:lineRule="auto"/>
        <w:rPr>
          <w:rFonts w:hint="eastAsia" w:ascii="宋体" w:hAnsi="宋体" w:eastAsia="宋体"/>
          <w:caps w:val="0"/>
          <w:color w:val="auto"/>
          <w:sz w:val="21"/>
          <w:szCs w:val="21"/>
          <w:highlight w:val="none"/>
        </w:rPr>
      </w:pPr>
      <w:r>
        <w:rPr>
          <w:rStyle w:val="1174"/>
          <w:rFonts w:ascii="宋体" w:hAnsi="宋体"/>
          <w:color w:val="auto"/>
          <w:highlight w:val="none"/>
        </w:rPr>
        <w:fldChar w:fldCharType="begin"/>
      </w:r>
      <w:r>
        <w:rPr>
          <w:rStyle w:val="1174"/>
          <w:rFonts w:ascii="宋体" w:hAnsi="宋体"/>
          <w:color w:val="auto"/>
          <w:highlight w:val="none"/>
        </w:rPr>
        <w:instrText xml:space="preserve"> TOC \o "1-1" \h \z \u </w:instrText>
      </w:r>
      <w:r>
        <w:rPr>
          <w:rStyle w:val="1174"/>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64"/>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1164"/>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0</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64"/>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7</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1164"/>
        <w:pageBreakBefore w:val="0"/>
        <w:spacing w:line="360" w:lineRule="auto"/>
        <w:rPr>
          <w:rFonts w:hint="default" w:ascii="宋体" w:hAnsi="宋体" w:eastAsia="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31</w:t>
      </w:r>
      <w:r/>
    </w:p>
    <w:p>
      <w:pPr>
        <w:pStyle w:val="1164"/>
        <w:pageBreakBefore w:val="0"/>
        <w:spacing w:line="360" w:lineRule="auto"/>
        <w:rPr>
          <w:rStyle w:val="1174"/>
          <w:rFonts w:hint="eastAsia" w:ascii="宋体" w:hAnsi="宋体" w:eastAsia="宋体"/>
          <w:color w:val="auto"/>
          <w:highlight w:val="none"/>
          <w:lang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6</w:t>
      </w:r>
      <w:r/>
    </w:p>
    <w:p>
      <w:pPr>
        <w:pStyle w:val="1164"/>
        <w:pageBreakBefore w:val="0"/>
        <w:spacing w:line="360" w:lineRule="auto"/>
        <w:rPr>
          <w:rStyle w:val="1174"/>
          <w:rFonts w:hint="eastAsia" w:ascii="宋体" w:hAnsi="宋体"/>
          <w:color w:val="auto"/>
          <w:highlight w:val="none"/>
        </w:rPr>
      </w:pPr>
      <w:r>
        <w:rPr>
          <w:rStyle w:val="1174"/>
          <w:rFonts w:ascii="宋体" w:hAnsi="宋体"/>
          <w:color w:val="auto"/>
          <w:highlight w:val="none"/>
        </w:rPr>
        <w:fldChar w:fldCharType="end"/>
      </w:r>
      <w:r/>
    </w:p>
    <w:p>
      <w:pPr>
        <w:pStyle w:val="1164"/>
        <w:pageBreakBefore w:val="0"/>
        <w:spacing w:line="360" w:lineRule="auto"/>
        <w:rPr>
          <w:rStyle w:val="1174"/>
          <w:rFonts w:hint="eastAsia" w:ascii="宋体" w:hAnsi="宋体"/>
          <w:color w:val="auto"/>
          <w:highlight w:val="none"/>
        </w:rPr>
      </w:pPr>
      <w:r/>
      <w:bookmarkStart w:id="133" w:name="_GoBack"/>
      <w:r/>
      <w:bookmarkEnd w:id="133"/>
      <w:r/>
      <w:r/>
    </w:p>
    <w:p>
      <w:pPr>
        <w:pStyle w:val="1164"/>
        <w:pageBreakBefore w:val="0"/>
        <w:spacing w:line="360" w:lineRule="auto"/>
        <w:rPr>
          <w:rStyle w:val="1174"/>
          <w:rFonts w:hint="eastAsia" w:ascii="宋体" w:hAnsi="宋体"/>
          <w:color w:val="auto"/>
          <w:highlight w:val="none"/>
        </w:rPr>
      </w:pPr>
      <w:r>
        <w:rPr>
          <w:rFonts w:hint="eastAsia" w:ascii="宋体" w:hAnsi="宋体"/>
          <w:color w:val="auto"/>
          <w:highlight w:val="none"/>
        </w:rPr>
      </w:r>
      <w:r/>
    </w:p>
    <w:p>
      <w:pPr>
        <w:pStyle w:val="1176"/>
        <w:ind w:firstLine="360"/>
        <w:jc w:val="center"/>
        <w:pageBreakBefore w:val="0"/>
        <w:spacing w:line="360" w:lineRule="auto"/>
        <w:rPr>
          <w:rStyle w:val="1174"/>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1150"/>
        <w:ind w:firstLine="422"/>
        <w:jc w:val="center"/>
        <w:pageBreakBefore w:val="0"/>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color w:val="auto"/>
          <w:szCs w:val="21"/>
          <w:highlight w:val="none"/>
        </w:rPr>
      </w:pPr>
      <w:r/>
      <w:bookmarkStart w:id="1" w:name="_Toc28359012"/>
      <w:r/>
      <w:bookmarkStart w:id="2" w:name="_Toc35393798"/>
      <w:r/>
      <w:bookmarkStart w:id="3" w:name="_Toc28359089"/>
      <w:r/>
      <w:bookmarkStart w:id="4" w:name="_Toc35393629"/>
      <w:r/>
      <w:bookmarkStart w:id="5" w:name="_Toc513029209"/>
      <w:r/>
      <w:bookmarkStart w:id="6" w:name="_Toc14577347"/>
      <w:r/>
      <w:bookmarkStart w:id="7" w:name="_Toc61149549"/>
      <w:r>
        <w:rPr>
          <w:rFonts w:hint="eastAsia" w:ascii="宋体" w:hAnsi="宋体" w:cs="仿宋_GB2312"/>
          <w:b/>
          <w:bCs/>
          <w:color w:val="auto"/>
          <w:szCs w:val="21"/>
          <w:highlight w:val="none"/>
        </w:rPr>
        <w:t xml:space="preserve">项目概况</w:t>
      </w:r>
      <w:r/>
    </w:p>
    <w:p>
      <w:pPr>
        <w:ind w:firstLine="420"/>
        <w:pageBreakBefore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lang w:eastAsia="zh-CN"/>
        </w:rPr>
        <w:t xml:space="preserve">养护机械设备采购项目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w:t>
      </w:r>
      <w:r>
        <w:rPr>
          <w:rFonts w:hint="eastAsia" w:ascii="宋体" w:hAnsi="宋体" w:cs="仿宋_GB2312"/>
          <w:color w:val="auto"/>
          <w:szCs w:val="21"/>
          <w:highlight w:val="none"/>
          <w:u w:val="none"/>
        </w:rPr>
        <w:t xml:space="preserve">并于2025年</w:t>
      </w:r>
      <w:r>
        <w:rPr>
          <w:rFonts w:hint="eastAsia" w:ascii="宋体" w:hAnsi="宋体" w:cs="仿宋_GB2312"/>
          <w:color w:val="auto"/>
          <w:szCs w:val="21"/>
          <w:highlight w:val="none"/>
          <w:u w:val="none"/>
          <w:lang w:val="en-US" w:eastAsia="zh-CN"/>
        </w:rPr>
        <w:t xml:space="preserve">12</w:t>
      </w:r>
      <w:r>
        <w:rPr>
          <w:rFonts w:hint="eastAsia" w:ascii="宋体" w:hAnsi="宋体" w:cs="仿宋_GB2312"/>
          <w:color w:val="auto"/>
          <w:szCs w:val="21"/>
          <w:highlight w:val="none"/>
          <w:u w:val="none"/>
        </w:rPr>
        <w:t xml:space="preserve">月</w:t>
      </w:r>
      <w:r>
        <w:rPr>
          <w:rFonts w:hint="eastAsia" w:ascii="宋体" w:hAnsi="宋体" w:cs="仿宋_GB2312"/>
          <w:color w:val="auto"/>
          <w:szCs w:val="21"/>
          <w:highlight w:val="none"/>
          <w:u w:val="none"/>
          <w:lang w:val="en-US" w:eastAsia="zh-CN"/>
        </w:rPr>
        <w:t xml:space="preserve">5</w:t>
      </w:r>
      <w:r>
        <w:rPr>
          <w:rFonts w:hint="eastAsia" w:ascii="宋体" w:hAnsi="宋体"/>
          <w:color w:val="auto"/>
          <w:szCs w:val="21"/>
          <w:highlight w:val="none"/>
        </w:rPr>
        <w:t xml:space="preserve">日9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分（北京时间）前提交响应文件。</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color w:val="auto"/>
          <w:szCs w:val="21"/>
          <w:highlight w:val="none"/>
          <w:lang w:eastAsia="zh-CN"/>
        </w:rPr>
      </w:pPr>
      <w:r/>
      <w:bookmarkStart w:id="8" w:name="_Toc28359013"/>
      <w:r/>
      <w:bookmarkStart w:id="9" w:name="_Toc28359090"/>
      <w:r/>
      <w:bookmarkStart w:id="10" w:name="_Toc35393630"/>
      <w:r/>
      <w:bookmarkStart w:id="11" w:name="_Toc35393799"/>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JSZC-321200-HQGC-C2025-0059</w:t>
      </w:r>
      <w:r/>
    </w:p>
    <w:p>
      <w:pPr>
        <w:ind w:firstLine="422"/>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养护机械设备采购项目</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eastAsia="zh-CN"/>
        </w:rPr>
        <w:t xml:space="preserve">170万元</w:t>
      </w:r>
      <w:r>
        <w:rPr>
          <w:rFonts w:hint="eastAsia" w:ascii="宋体" w:hAnsi="宋体" w:cs="宋体"/>
          <w:color w:val="auto"/>
          <w:szCs w:val="21"/>
          <w:highlight w:val="none"/>
        </w:rPr>
        <w:t xml:space="preserve">人民币</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最高限价：</w:t>
      </w:r>
      <w:r>
        <w:rPr>
          <w:rFonts w:hint="eastAsia" w:ascii="宋体" w:hAnsi="宋体" w:cs="宋体"/>
          <w:color w:val="auto"/>
          <w:highlight w:val="none"/>
          <w:lang w:val="en-US" w:eastAsia="zh-CN"/>
        </w:rPr>
        <w:t xml:space="preserve">158</w:t>
      </w:r>
      <w:r>
        <w:rPr>
          <w:rFonts w:hint="eastAsia" w:ascii="宋体" w:hAnsi="宋体" w:cs="宋体"/>
          <w:color w:val="auto"/>
          <w:highlight w:val="none"/>
          <w:lang w:eastAsia="zh-CN"/>
        </w:rPr>
        <w:t xml:space="preserve">万</w:t>
      </w:r>
      <w:r>
        <w:rPr>
          <w:rFonts w:hint="eastAsia" w:ascii="宋体" w:hAnsi="宋体" w:eastAsia="宋体" w:cs="宋体"/>
          <w:color w:val="auto"/>
          <w:highlight w:val="none"/>
          <w:lang w:eastAsia="zh-CN"/>
        </w:rPr>
        <w:t xml:space="preserve">元</w:t>
      </w:r>
      <w:r>
        <w:rPr>
          <w:rFonts w:hint="eastAsia" w:ascii="宋体" w:hAnsi="宋体" w:eastAsia="宋体" w:cs="宋体"/>
          <w:color w:val="auto"/>
          <w:highlight w:val="none"/>
        </w:rPr>
        <w:t xml:space="preserve">人民币（超过限价报价的，作为无效响应处理）</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采购需求：</w:t>
      </w:r>
      <w:r>
        <w:rPr>
          <w:rFonts w:hint="eastAsia" w:ascii="宋体" w:hAnsi="宋体" w:eastAsia="宋体" w:cs="宋体"/>
          <w:color w:val="auto"/>
          <w:highlight w:val="none"/>
        </w:rPr>
        <w:t xml:space="preserve">本项目</w:t>
      </w:r>
      <w:r>
        <w:rPr>
          <w:rFonts w:hint="eastAsia" w:ascii="宋体" w:hAnsi="宋体" w:cs="宋体"/>
          <w:color w:val="auto"/>
          <w:highlight w:val="none"/>
          <w:lang w:val="en-US" w:eastAsia="zh-CN"/>
        </w:rPr>
        <w:t xml:space="preserve">拟采购2台12吨新能源洗扫车</w:t>
      </w:r>
      <w:r>
        <w:rPr>
          <w:rFonts w:hint="eastAsia" w:ascii="宋体" w:hAnsi="宋体" w:eastAsia="宋体" w:cs="宋体"/>
          <w:color w:val="auto"/>
          <w:highlight w:val="none"/>
          <w:lang w:eastAsia="zh-CN"/>
        </w:rPr>
        <w:t xml:space="preserve">（具体内容见磋商文件第四章 项目需求）。</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合同履行期限：</w:t>
      </w:r>
      <w:r>
        <w:rPr>
          <w:rFonts w:hint="eastAsia" w:ascii="宋体" w:hAnsi="宋体" w:cs="宋体"/>
          <w:color w:val="auto"/>
          <w:highlight w:val="none"/>
          <w:lang w:eastAsia="zh-CN"/>
        </w:rPr>
        <w:t xml:space="preserve">合同签订后30日内交货。</w:t>
      </w:r>
      <w:r/>
    </w:p>
    <w:p>
      <w:pPr>
        <w:ind w:firstLine="42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本项目是否接受联合体投标：</w:t>
      </w:r>
      <w:r>
        <w:rPr>
          <w:rFonts w:hint="eastAsia" w:ascii="宋体" w:hAnsi="宋体" w:cs="宋体"/>
          <w:b/>
          <w:bCs/>
          <w:color w:val="auto"/>
          <w:szCs w:val="21"/>
          <w:highlight w:val="none"/>
          <w:lang w:val="en-US" w:eastAsia="zh-CN"/>
        </w:rPr>
        <w:t xml:space="preserve">否</w:t>
      </w:r>
      <w:r>
        <w:rPr>
          <w:rFonts w:hint="eastAsia" w:ascii="宋体" w:hAnsi="宋体" w:cs="宋体"/>
          <w:b/>
          <w:bCs/>
          <w:color w:val="auto"/>
          <w:szCs w:val="21"/>
          <w:highlight w:val="none"/>
        </w:rPr>
        <w:t xml:space="preserve">。</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color w:val="auto"/>
          <w:highlight w:val="none"/>
        </w:rPr>
      </w:pPr>
      <w:r/>
      <w:bookmarkStart w:id="12" w:name="_Toc28359091"/>
      <w:r/>
      <w:bookmarkStart w:id="13" w:name="_Toc28359014"/>
      <w:r/>
      <w:bookmarkStart w:id="14" w:name="_Toc35393631"/>
      <w:r/>
      <w:bookmarkStart w:id="15" w:name="_Toc35393800"/>
      <w:r>
        <w:rPr>
          <w:rFonts w:hint="eastAsia" w:ascii="宋体" w:hAnsi="宋体" w:cs="宋体"/>
          <w:color w:val="auto"/>
          <w:highlight w:val="none"/>
        </w:rPr>
        <w:t xml:space="preserve">1.满足《中华人民共和国政府采购法》第二十二条的规定：</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ind w:firstLine="420"/>
        <w:spacing w:line="360" w:lineRule="auto"/>
        <w:rPr>
          <w:rFonts w:ascii="宋体" w:hAnsi="宋体" w:cs="宋体"/>
          <w:b/>
          <w:bCs/>
          <w:szCs w:val="21"/>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落实政府采购政策需满足的资格要求：</w:t>
      </w:r>
      <w:r>
        <w:rPr>
          <w:rFonts w:hint="eastAsia" w:ascii="宋体" w:hAnsi="宋体" w:cs="宋体"/>
          <w:b/>
          <w:bCs/>
          <w:szCs w:val="21"/>
          <w:highlight w:val="none"/>
        </w:rPr>
        <w:t xml:space="preserve">本项目属于制造业，不专门面向中小微企业、监狱企业、残疾人福利性单位，</w:t>
      </w:r>
      <w:r>
        <w:rPr>
          <w:rFonts w:hint="eastAsia" w:ascii="宋体" w:hAnsi="宋体" w:cs="宋体"/>
          <w:b/>
          <w:bCs/>
          <w:szCs w:val="21"/>
          <w:highlight w:val="none"/>
          <w:lang w:eastAsia="zh-CN"/>
        </w:rPr>
        <w:t xml:space="preserve">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人，对小型和微型企业产品的价格给予10%的扣除。</w:t>
      </w:r>
      <w:r/>
    </w:p>
    <w:p>
      <w:pPr>
        <w:ind w:firstLine="420"/>
        <w:spacing w:line="360" w:lineRule="auto"/>
        <w:rPr>
          <w:rFonts w:hint="default" w:ascii="宋体" w:hAnsi="宋体" w:eastAsia="宋体" w:cs="宋体"/>
          <w:b/>
          <w:bCs/>
          <w:sz w:val="21"/>
          <w:szCs w:val="21"/>
          <w:highlight w:val="none"/>
          <w:lang w:val="en-US" w:eastAsia="zh-CN" w:bidi="ar-SA"/>
        </w:rPr>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b/>
          <w:szCs w:val="21"/>
          <w:highlight w:val="none"/>
        </w:rPr>
        <w:t xml:space="preserve">本项目不接</w:t>
      </w:r>
      <w:r>
        <w:rPr>
          <w:rFonts w:hint="eastAsia" w:ascii="宋体" w:hAnsi="宋体" w:cs="宋体"/>
          <w:b/>
          <w:szCs w:val="21"/>
          <w:highlight w:val="none"/>
          <w:lang w:val="en-US" w:eastAsia="zh-CN"/>
        </w:rPr>
        <w:t xml:space="preserve">收</w:t>
      </w:r>
      <w:r>
        <w:rPr>
          <w:rFonts w:hint="eastAsia" w:ascii="宋体" w:hAnsi="宋体" w:cs="宋体"/>
          <w:b/>
          <w:szCs w:val="21"/>
          <w:highlight w:val="none"/>
        </w:rPr>
        <w:t xml:space="preserve">进口产品投标</w:t>
      </w:r>
      <w:r>
        <w:rPr>
          <w:rFonts w:hint="eastAsia" w:ascii="宋体" w:hAnsi="宋体" w:cs="宋体"/>
          <w:b/>
          <w:szCs w:val="21"/>
          <w:highlight w:val="none"/>
          <w:lang w:eastAsia="zh-CN"/>
        </w:rPr>
        <w:t xml:space="preserve">（</w:t>
      </w:r>
      <w:r>
        <w:rPr>
          <w:rFonts w:hint="eastAsia" w:ascii="宋体" w:hAnsi="宋体" w:cs="宋体"/>
          <w:b/>
          <w:bCs/>
          <w:sz w:val="21"/>
          <w:szCs w:val="21"/>
          <w:highlight w:val="none"/>
          <w:lang w:val="en-US" w:eastAsia="zh-CN" w:bidi="ar-SA"/>
        </w:rPr>
        <w:t xml:space="preserve">响应文件中应提供相关承诺函）。</w:t>
      </w:r>
      <w:r/>
    </w:p>
    <w:p>
      <w:pPr>
        <w:ind w:left="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35393801"/>
      <w:r/>
      <w:bookmarkStart w:id="17" w:name="_Toc35393632"/>
      <w:r/>
      <w:bookmarkStart w:id="18" w:name="_Toc28359092"/>
      <w:r/>
      <w:bookmarkStart w:id="19" w:name="_Toc28359015"/>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3.3“CA数字证书”的获取：</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3.4采购文件（后缀名为“.kedt”）、供应商操作手册及政府采购客户端工具可通过“苏采云”系统--已报名项目--报名详情页面内相应链接进行下载。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3.7开评标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color w:val="auto"/>
          <w:szCs w:val="21"/>
          <w:highlight w:val="none"/>
        </w:rPr>
      </w:pPr>
      <w:r/>
      <w:bookmarkStart w:id="20" w:name="_Toc28359016"/>
      <w:r/>
      <w:bookmarkStart w:id="21" w:name="_Toc35393802"/>
      <w:r/>
      <w:bookmarkStart w:id="22" w:name="_Toc35393633"/>
      <w:r/>
      <w:bookmarkStart w:id="23" w:name="_Toc28359093"/>
      <w:r>
        <w:rPr>
          <w:rFonts w:hint="eastAsia" w:ascii="宋体" w:hAnsi="宋体" w:cs="宋体"/>
          <w:color w:val="auto"/>
          <w:szCs w:val="21"/>
          <w:highlight w:val="none"/>
        </w:rPr>
        <w:t xml:space="preserve">1.响应文件提交截止时间：2025年12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分（北京时间）。逾时，“苏采云”系统将拒绝接受上传响应文件电子文档。</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rFonts w:hint="eastAsia" w:ascii="宋体" w:hAnsi="宋体" w:cs="宋体"/>
          <w:b/>
          <w:bCs/>
          <w:i/>
          <w:color w:val="auto"/>
          <w:szCs w:val="21"/>
          <w:highlight w:val="none"/>
        </w:rPr>
        <w:t xml:space="preserve">竞争性磋商方式必须填写</w:t>
      </w:r>
      <w:r>
        <w:rPr>
          <w:rFonts w:hint="eastAsia" w:ascii="宋体" w:hAnsi="宋体" w:cs="宋体"/>
          <w:b/>
          <w:bCs/>
          <w:color w:val="auto"/>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color w:val="auto"/>
          <w:szCs w:val="21"/>
          <w:highlight w:val="none"/>
        </w:rPr>
      </w:pPr>
      <w:r/>
      <w:bookmarkStart w:id="24" w:name="_Toc35393634"/>
      <w:r/>
      <w:bookmarkStart w:id="25" w:name="_Toc35393803"/>
      <w:r/>
      <w:bookmarkStart w:id="26" w:name="_Toc28359017"/>
      <w:r/>
      <w:bookmarkStart w:id="27" w:name="_Toc28359094"/>
      <w:r>
        <w:rPr>
          <w:rFonts w:hint="eastAsia" w:ascii="宋体" w:hAnsi="宋体" w:cs="宋体"/>
          <w:color w:val="auto"/>
          <w:szCs w:val="21"/>
          <w:highlight w:val="none"/>
        </w:rPr>
        <w:t xml:space="preserve">1.时间：2025年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月5</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rPr>
        <w:t xml:space="preserve">00分（北京时间）。</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highlight w:val="none"/>
        </w:rPr>
        <w:t xml:space="preserve">投标供应商解密限定在开标后30分钟之内完成</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各供应商请关注开标大厅交流区，在开标结束后，请勿离开开标大厅。采购人或采购代理机构通知最后报价填报后，所有的响应供应商须在</w:t>
      </w:r>
      <w:r>
        <w:rPr>
          <w:rFonts w:hint="eastAsia" w:ascii="宋体" w:hAnsi="宋体" w:cs="宋体"/>
          <w:color w:val="auto"/>
          <w:szCs w:val="21"/>
          <w:highlight w:val="none"/>
          <w:lang w:eastAsia="zh-CN"/>
        </w:rPr>
        <w:t xml:space="preserve">15分钟</w:t>
      </w:r>
      <w:r>
        <w:rPr>
          <w:rFonts w:hint="eastAsia" w:ascii="宋体" w:hAnsi="宋体" w:cs="宋体"/>
          <w:color w:val="auto"/>
          <w:szCs w:val="21"/>
          <w:highlight w:val="none"/>
        </w:rPr>
        <w:t xml:space="preserve">内填写并提交最后报价，未在规定时间内提交最后报价的，视作无效响应处理。</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28" w:name="_Toc35393804"/>
      <w:r/>
      <w:bookmarkStart w:id="29" w:name="_Toc35393635"/>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Start w:id="30" w:name="_Toc28359095"/>
      <w:r/>
      <w:bookmarkStart w:id="31" w:name="_Toc35393636"/>
      <w:r/>
      <w:bookmarkStart w:id="32" w:name="_Toc28359018"/>
      <w:r/>
      <w:bookmarkStart w:id="33" w:name="_Toc35393805"/>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4.相关法律法规规定：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《政府采购竞争性磋商采购方式管理暂行办法》（财库〔2014〕214号）第二十三条：经磋商确定最终采</w:t>
      </w:r>
      <w:r>
        <w:rPr>
          <w:rFonts w:hint="eastAsia" w:ascii="宋体" w:hAnsi="宋体" w:eastAsia="宋体" w:cs="宋体"/>
          <w:color w:val="auto"/>
          <w:szCs w:val="21"/>
          <w:highlight w:val="none"/>
        </w:rPr>
        <w:t xml:space="preserve">购需求和提交最后报价的供应商后，由磋商小组采用综合评分法对提交最后报价的供应商的响应文件和最后报价进行综合评分。</w:t>
      </w:r>
      <w:r/>
    </w:p>
    <w:p>
      <w:pPr>
        <w:numPr>
          <w:ilvl w:val="0"/>
          <w:numId w:val="0"/>
        </w:numPr>
        <w:ind w:firstLine="420"/>
        <w:pageBreakBefore w:val="0"/>
        <w:spacing w:line="360" w:lineRule="auto"/>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本项目为固定</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价合同，</w:t>
      </w:r>
      <w:r>
        <w:rPr>
          <w:rFonts w:hint="eastAsia" w:ascii="宋体" w:hAnsi="宋体" w:eastAsia="宋体" w:cs="宋体"/>
          <w:b/>
          <w:bCs w:val="0"/>
          <w:color w:val="auto"/>
          <w:sz w:val="21"/>
          <w:szCs w:val="21"/>
          <w:highlight w:val="none"/>
          <w:lang w:val="en-US" w:eastAsia="zh-CN" w:bidi="ar"/>
        </w:rPr>
        <w:t xml:space="preserve">本项目为固定单价合同，包含货物、包装、运输、技术支持与售后服务、保险、利润、税金、政策性文件规定及合同包含的所有风险、责任等各项应有费用。供应商应充分考虑本项目合同实施期间可能发生的费用，并承担由此而带来的风险。磋商过程中采购内容若无实质性变更，最终磋商报价不得超过首次响应报价，投标报价明细表不需再次填报，结算时最终投标报价明细表按照首次投标报价明细表同比例下浮。</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6.根据《关于推动解决政府采购异常低价问题相关工作的通知》（苏财购〔2025〕62号）精神，政府采购评审中出现下列情形之一的，评审委员会应当启动异常低价投标（响应）审查程序：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eastAsia="宋体" w:cs="宋体"/>
          <w:color w:val="auto"/>
          <w:szCs w:val="21"/>
          <w:highlight w:val="none"/>
        </w:rPr>
        <w:t xml:space="preserve">6.2投标（响</w:t>
      </w:r>
      <w:r>
        <w:rPr>
          <w:rFonts w:hint="eastAsia" w:ascii="宋体" w:hAnsi="宋体" w:cs="宋体"/>
          <w:szCs w:val="21"/>
          <w:highlight w:val="none"/>
        </w:rPr>
        <w:t xml:space="preserve">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凡对本次采购提出询问，请按以下方式联系</w:t>
      </w:r>
      <w:bookmarkEnd w:id="30"/>
      <w:r/>
      <w:bookmarkEnd w:id="31"/>
      <w:r/>
      <w:bookmarkEnd w:id="32"/>
      <w:r/>
      <w:bookmarkEnd w:id="33"/>
      <w:r>
        <w:rPr>
          <w:rFonts w:hint="eastAsia" w:ascii="宋体" w:hAnsi="宋体" w:cs="宋体"/>
          <w:b/>
          <w:bCs/>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泰州市公路事业发展中心</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泰州市鼓楼南路303号</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张先生</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86813356</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2.代理机构：江苏华强工程投资管理咨询有限公司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0523-82987125</w:t>
      </w:r>
      <w:r>
        <w:rPr>
          <w:rFonts w:hint="eastAsia" w:ascii="宋体" w:hAnsi="宋体" w:cs="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办公地址：江苏省泰州市海陵南路179号华诚大厦B座9楼</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邮政编码：225300</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3.项目联系人</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0523-82987125</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pageBreakBefore w:val="0"/>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养护机械设备采购项目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b/>
          <w:bCs/>
          <w:color w:val="auto"/>
          <w:szCs w:val="21"/>
          <w:highlight w:val="none"/>
        </w:rPr>
        <w:t xml:space="preserve">4.2</w:t>
      </w:r>
      <w:r>
        <w:rPr>
          <w:rFonts w:hint="eastAsia" w:ascii="宋体" w:hAnsi="宋体" w:cs="宋体"/>
          <w:b/>
          <w:bCs/>
          <w:color w:val="auto"/>
          <w:szCs w:val="21"/>
          <w:highlight w:val="none"/>
          <w:u w:val="single"/>
        </w:rPr>
        <w:t xml:space="preserve">招标代理服务费</w:t>
      </w:r>
      <w:r>
        <w:rPr>
          <w:rFonts w:hint="eastAsia" w:ascii="宋体" w:hAnsi="宋体" w:cs="宋体"/>
          <w:b/>
          <w:bCs/>
          <w:color w:val="auto"/>
          <w:szCs w:val="21"/>
          <w:highlight w:val="none"/>
          <w:u w:val="single"/>
          <w:lang w:val="en-US" w:eastAsia="zh-CN"/>
        </w:rPr>
        <w:t xml:space="preserve">由采购人支付</w:t>
      </w:r>
      <w:r>
        <w:rPr>
          <w:rFonts w:hint="eastAsia" w:ascii="宋体" w:hAnsi="宋体" w:cs="宋体"/>
          <w:b/>
          <w:bCs/>
          <w:color w:val="auto"/>
          <w:szCs w:val="21"/>
          <w:highlight w:val="none"/>
          <w:u w:val="singl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w:t>
      </w:r>
      <w:r>
        <w:rPr>
          <w:rFonts w:hint="eastAsia" w:ascii="宋体" w:hAnsi="宋体"/>
          <w:color w:val="auto"/>
          <w:szCs w:val="21"/>
          <w:highlight w:val="none"/>
          <w:lang w:val="en-US" w:eastAsia="zh-CN"/>
        </w:rPr>
        <w:t xml:space="preserve">视</w:t>
      </w:r>
      <w:r>
        <w:rPr>
          <w:rFonts w:hint="eastAsia" w:ascii="宋体" w:hAnsi="宋体"/>
          <w:color w:val="auto"/>
          <w:szCs w:val="21"/>
          <w:highlight w:val="none"/>
        </w:rPr>
        <w:t xml:space="preserve">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pPr>
      <w:r/>
      <w:bookmarkStart w:id="34" w:name="_Toc16938553"/>
      <w:r/>
      <w:bookmarkStart w:id="35" w:name="_Toc20823309"/>
      <w:r/>
      <w:bookmarkStart w:id="36" w:name="_Toc513029237"/>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）由采购人解释，其他部分由采购代理机构解释。</w:t>
      </w:r>
      <w:r/>
    </w:p>
    <w:p>
      <w:pPr>
        <w:ind w:firstLine="482"/>
        <w:pageBreakBefore w:val="0"/>
        <w:spacing w:line="360" w:lineRule="auto"/>
        <w:rPr>
          <w:rFonts w:cs="宋体"/>
          <w:b/>
          <w:color w:val="auto"/>
          <w:szCs w:val="21"/>
          <w:highlight w:val="none"/>
        </w:rPr>
      </w:pPr>
      <w:r/>
      <w:bookmarkStart w:id="37" w:name="_Toc20823281"/>
      <w:r/>
      <w:bookmarkStart w:id="38" w:name="_Toc16938525"/>
      <w:r/>
      <w:bookmarkStart w:id="39" w:name="_Toc120614215"/>
      <w:r>
        <w:rPr>
          <w:rFonts w:hint="eastAsia" w:cs="宋体"/>
          <w:b/>
          <w:color w:val="auto"/>
          <w:szCs w:val="21"/>
          <w:highlight w:val="none"/>
        </w:rPr>
        <w:t xml:space="preserve">二、磋商文件</w:t>
      </w:r>
      <w:bookmarkEnd w:id="37"/>
      <w:r/>
      <w:bookmarkEnd w:id="38"/>
      <w:r/>
      <w:bookmarkEnd w:id="39"/>
      <w:r/>
      <w:r/>
    </w:p>
    <w:p>
      <w:pPr>
        <w:ind w:firstLine="420"/>
        <w:pageBreakBefore w:val="0"/>
        <w:spacing w:line="360" w:lineRule="auto"/>
        <w:tabs>
          <w:tab w:val="left" w:pos="900" w:leader="none"/>
        </w:tabs>
        <w:rPr>
          <w:rFonts w:hint="eastAsia" w:ascii="宋体" w:hAnsi="宋体"/>
          <w:color w:val="auto"/>
          <w:szCs w:val="21"/>
          <w:highlight w:val="none"/>
        </w:rPr>
      </w:pPr>
      <w:r/>
      <w:bookmarkStart w:id="40" w:name="_Toc513029210"/>
      <w:r/>
      <w:bookmarkStart w:id="41" w:name="_Toc20823282"/>
      <w:r/>
      <w:bookmarkStart w:id="42" w:name="_Toc16938526"/>
      <w:r>
        <w:rPr>
          <w:rFonts w:hint="eastAsia" w:ascii="宋体" w:hAnsi="宋体"/>
          <w:color w:val="auto"/>
          <w:szCs w:val="21"/>
          <w:highlight w:val="none"/>
        </w:rPr>
        <w:t xml:space="preserve">1.磋商文件构成</w:t>
      </w:r>
      <w:bookmarkEnd w:id="40"/>
      <w:r/>
      <w:bookmarkEnd w:id="41"/>
      <w:r/>
      <w:bookmarkEnd w:id="42"/>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rPr>
      </w:pPr>
      <w:r/>
      <w:bookmarkStart w:id="43" w:name="_Toc513029211"/>
      <w:r/>
      <w:bookmarkStart w:id="44" w:name="_Toc20823283"/>
      <w:r/>
      <w:bookmarkStart w:id="45" w:name="_Toc16938527"/>
      <w:r/>
      <w:bookmarkStart w:id="46" w:name="_Toc462564070"/>
      <w:r>
        <w:rPr>
          <w:rFonts w:hint="eastAsia" w:ascii="宋体" w:hAnsi="宋体"/>
          <w:color w:val="auto"/>
          <w:szCs w:val="21"/>
          <w:highlight w:val="none"/>
        </w:rPr>
        <w:t xml:space="preserve">2.磋商文件的澄清</w:t>
      </w:r>
      <w:bookmarkEnd w:id="43"/>
      <w:r/>
      <w:bookmarkEnd w:id="44"/>
      <w:r/>
      <w:bookmarkEnd w:id="45"/>
      <w:r/>
      <w:bookmarkEnd w:id="46"/>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rPr>
      </w:pPr>
      <w:r/>
      <w:bookmarkStart w:id="47" w:name="_Toc16938528"/>
      <w:r/>
      <w:bookmarkStart w:id="48" w:name="_Toc513029212"/>
      <w:r/>
      <w:bookmarkStart w:id="49" w:name="_Toc20823284"/>
      <w:r/>
      <w:bookmarkStart w:id="50" w:name="_Toc462564071"/>
      <w:r>
        <w:rPr>
          <w:rFonts w:hint="eastAsia" w:ascii="宋体" w:hAnsi="宋体"/>
          <w:color w:val="auto"/>
          <w:szCs w:val="21"/>
          <w:highlight w:val="none"/>
        </w:rPr>
        <w:t xml:space="preserve">3.磋商文件的修改</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cs="宋体"/>
          <w:b/>
          <w:bCs/>
          <w:color w:val="auto"/>
          <w:szCs w:val="21"/>
          <w:highlight w:val="none"/>
          <w:u w:val="single"/>
          <w:lang w:val="en-US" w:eastAsia="zh-CN"/>
        </w:rPr>
        <w:t xml:space="preserve">到</w:t>
      </w:r>
      <w:r>
        <w:rPr>
          <w:rFonts w:hint="eastAsia" w:ascii="宋体" w:hAnsi="宋体" w:cs="宋体"/>
          <w:b/>
          <w:bCs/>
          <w:color w:val="auto"/>
          <w:szCs w:val="21"/>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pPr>
      <w:r/>
      <w:bookmarkStart w:id="51" w:name="_Toc16938529"/>
      <w:r/>
      <w:bookmarkStart w:id="52" w:name="_Toc20823285"/>
      <w:r/>
      <w:bookmarkStart w:id="53" w:name="_Toc513029213"/>
      <w:r/>
      <w:bookmarkStart w:id="54" w:name="_Toc120614216"/>
      <w:r/>
      <w:bookmarkStart w:id="55" w:name="_Toc462564072"/>
      <w:r>
        <w:rPr>
          <w:rFonts w:hint="eastAsia" w:ascii="宋体" w:hAnsi="宋体" w:cs="宋体"/>
          <w:b/>
          <w:color w:val="auto"/>
          <w:szCs w:val="21"/>
          <w:highlight w:val="none"/>
        </w:rPr>
        <w:t xml:space="preserve">三、响应文件的编制</w:t>
      </w:r>
      <w:bookmarkEnd w:id="51"/>
      <w:r/>
      <w:bookmarkEnd w:id="52"/>
      <w:r/>
      <w:bookmarkEnd w:id="53"/>
      <w:r/>
      <w:bookmarkEnd w:id="54"/>
      <w:r/>
      <w:bookmarkEnd w:id="55"/>
      <w:r/>
      <w:r/>
    </w:p>
    <w:p>
      <w:pPr>
        <w:ind w:firstLine="480"/>
        <w:pageBreakBefore w:val="0"/>
        <w:spacing w:line="360" w:lineRule="auto"/>
        <w:rPr>
          <w:rFonts w:hint="eastAsia" w:ascii="宋体" w:hAnsi="宋体" w:cs="宋体"/>
          <w:color w:val="auto"/>
          <w:szCs w:val="21"/>
          <w:highlight w:val="none"/>
        </w:rPr>
      </w:pPr>
      <w:r/>
      <w:bookmarkStart w:id="56" w:name="_Toc20823286"/>
      <w:r/>
      <w:bookmarkStart w:id="57" w:name="_Toc513029214"/>
      <w:r/>
      <w:bookmarkStart w:id="58" w:name="_Toc462564073"/>
      <w:r/>
      <w:bookmarkStart w:id="59" w:name="_Toc16938530"/>
      <w:r>
        <w:rPr>
          <w:rFonts w:hint="eastAsia" w:ascii="宋体" w:hAnsi="宋体" w:cs="宋体"/>
          <w:color w:val="auto"/>
          <w:szCs w:val="21"/>
          <w:highlight w:val="none"/>
        </w:rPr>
        <w:t xml:space="preserve">1.响应文件的语言及度量衡单位</w:t>
      </w:r>
      <w:bookmarkEnd w:id="56"/>
      <w:r/>
      <w:bookmarkEnd w:id="57"/>
      <w:r/>
      <w:bookmarkEnd w:id="58"/>
      <w:r/>
      <w:bookmarkEnd w:id="59"/>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rPr>
      </w:pPr>
      <w:r/>
      <w:bookmarkStart w:id="60" w:name="_Toc20823287"/>
      <w:r/>
      <w:bookmarkStart w:id="61" w:name="_Toc513029215"/>
      <w:r/>
      <w:bookmarkStart w:id="62" w:name="_Toc462564074"/>
      <w:r/>
      <w:bookmarkStart w:id="63" w:name="_Toc16938531"/>
      <w:r>
        <w:rPr>
          <w:rFonts w:hint="eastAsia" w:ascii="宋体" w:hAnsi="宋体" w:cs="宋体"/>
          <w:color w:val="auto"/>
          <w:szCs w:val="21"/>
          <w:highlight w:val="none"/>
        </w:rPr>
        <w:t xml:space="preserve">2.响应文件构成</w:t>
      </w:r>
      <w:bookmarkEnd w:id="60"/>
      <w:r/>
      <w:bookmarkEnd w:id="61"/>
      <w:r/>
      <w:bookmarkEnd w:id="62"/>
      <w:r/>
      <w:bookmarkEnd w:id="63"/>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2.1供应商编写的响应文件应包括资格审查文件、商务技术响应文件、报价响应文件。供应商按第六章 响应文件的组成和格式要求编写响应文件。</w:t>
      </w:r>
      <w:r/>
    </w:p>
    <w:p>
      <w:pPr>
        <w:ind w:firstLine="480"/>
        <w:pageBreakBefore w:val="0"/>
        <w:spacing w:line="360" w:lineRule="auto"/>
        <w:rPr>
          <w:rFonts w:hint="eastAsia" w:ascii="宋体" w:hAnsi="宋体" w:cs="宋体"/>
          <w:color w:val="auto"/>
          <w:szCs w:val="21"/>
          <w:highlight w:val="none"/>
        </w:rPr>
      </w:pPr>
      <w:r/>
      <w:bookmarkStart w:id="64" w:name="_Hlt26668975"/>
      <w:r/>
      <w:bookmarkEnd w:id="64"/>
      <w:r/>
      <w:bookmarkStart w:id="65" w:name="_Hlt26670360"/>
      <w:r/>
      <w:bookmarkEnd w:id="65"/>
      <w:r/>
      <w:bookmarkStart w:id="66" w:name="_Hlt26954838"/>
      <w:r/>
      <w:bookmarkEnd w:id="66"/>
      <w:r/>
      <w:bookmarkStart w:id="67" w:name="_Toc49090511"/>
      <w:r/>
      <w:bookmarkStart w:id="68" w:name="_Toc14577360"/>
      <w:r>
        <w:rPr>
          <w:rFonts w:hint="eastAsia" w:ascii="宋体" w:hAnsi="宋体" w:cs="宋体"/>
          <w:color w:val="auto"/>
          <w:szCs w:val="21"/>
          <w:highlight w:val="none"/>
        </w:rPr>
        <w:t xml:space="preserve">3.</w:t>
      </w:r>
      <w:bookmarkEnd w:id="67"/>
      <w:r/>
      <w:bookmarkEnd w:id="68"/>
      <w:r>
        <w:rPr>
          <w:rFonts w:hint="eastAsia" w:ascii="宋体" w:hAnsi="宋体" w:cs="宋体"/>
          <w:color w:val="auto"/>
          <w:szCs w:val="21"/>
          <w:highlight w:val="none"/>
        </w:rPr>
        <w:t xml:space="preserve">磋商响应有效期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3.1磋商响应有效期为采购文件规定的响应文件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 磋商响应有效期的延长</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rPr>
      </w:pPr>
      <w:r/>
      <w:bookmarkStart w:id="69" w:name="_Hlt26954739"/>
      <w:r/>
      <w:bookmarkEnd w:id="69"/>
      <w:r/>
      <w:bookmarkStart w:id="70" w:name="_Hlt26954852"/>
      <w:r/>
      <w:bookmarkEnd w:id="70"/>
      <w:r/>
      <w:bookmarkStart w:id="71" w:name="_Toc513029224"/>
      <w:r/>
      <w:bookmarkStart w:id="72" w:name="_Toc16938540"/>
      <w:r/>
      <w:bookmarkStart w:id="73" w:name="_Toc20823296"/>
      <w:r/>
      <w:bookmarkStart w:id="74" w:name="_Toc120614217"/>
      <w:r>
        <w:rPr>
          <w:rFonts w:hint="eastAsia" w:ascii="宋体" w:hAnsi="宋体" w:cs="宋体"/>
          <w:color w:val="auto"/>
          <w:szCs w:val="21"/>
          <w:highlight w:val="none"/>
        </w:rPr>
        <w:t xml:space="preserve">5.电子响应文件其他要求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要求提供的资格证明文件（如资质证书、资格证书）、技术资料（如白皮书、彩页、手册、检测报告等）扫描上传至投标系统。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四、响应文件的提交</w:t>
      </w:r>
      <w:bookmarkEnd w:id="71"/>
      <w:r/>
      <w:bookmarkEnd w:id="72"/>
      <w:r/>
      <w:bookmarkEnd w:id="73"/>
      <w:r/>
      <w:bookmarkEnd w:id="74"/>
      <w:r/>
      <w:r/>
    </w:p>
    <w:p>
      <w:pPr>
        <w:ind w:firstLine="480"/>
        <w:pageBreakBefore w:val="0"/>
        <w:spacing w:line="360" w:lineRule="auto"/>
        <w:rPr>
          <w:rFonts w:hint="eastAsia" w:ascii="宋体" w:hAnsi="宋体" w:cs="宋体"/>
          <w:color w:val="auto"/>
          <w:szCs w:val="21"/>
          <w:highlight w:val="none"/>
        </w:rPr>
      </w:pPr>
      <w:r/>
      <w:bookmarkStart w:id="75" w:name="_Toc16938541"/>
      <w:r/>
      <w:bookmarkStart w:id="76" w:name="_Toc462564084"/>
      <w:r/>
      <w:bookmarkStart w:id="77" w:name="_Toc20823297"/>
      <w:r/>
      <w:bookmarkStart w:id="78" w:name="_Toc513029225"/>
      <w:r/>
      <w:bookmarkStart w:id="79" w:name="_Toc120614218"/>
      <w:r/>
      <w:bookmarkStart w:id="80" w:name="_Toc20823301"/>
      <w:r/>
      <w:bookmarkStart w:id="81" w:name="_Toc513029229"/>
      <w:r/>
      <w:bookmarkStart w:id="82" w:name="_Toc16938545"/>
      <w:r>
        <w:rPr>
          <w:rFonts w:hint="eastAsia" w:ascii="宋体" w:hAnsi="宋体" w:cs="宋体"/>
          <w:color w:val="auto"/>
          <w:szCs w:val="21"/>
          <w:highlight w:val="none"/>
        </w:rPr>
        <w:t xml:space="preserve">1.响应文件</w:t>
      </w:r>
      <w:bookmarkEnd w:id="75"/>
      <w:r/>
      <w:bookmarkEnd w:id="76"/>
      <w:r/>
      <w:bookmarkEnd w:id="77"/>
      <w:r/>
      <w:bookmarkEnd w:id="78"/>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val="en-US" w:eastAsia="zh-CN"/>
        </w:rPr>
        <w:t xml:space="preserve">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2.提交响应文件截止日期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3.响应文件的密封（加密）要求：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加密。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4.响应文件的拒收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 响应文件的撤回和修改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响应文件的撤回</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5.1.1电子响应文件的撤回</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5.2响应文件的修改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w:t>
      </w:r>
      <w:bookmarkEnd w:id="79"/>
      <w:r/>
      <w:bookmarkEnd w:id="80"/>
      <w:r/>
      <w:bookmarkEnd w:id="81"/>
      <w:r/>
      <w:bookmarkEnd w:id="82"/>
      <w:r/>
      <w:bookmarkStart w:id="83" w:name="_Toc513029230"/>
      <w:r/>
      <w:bookmarkStart w:id="84" w:name="_Toc20823302"/>
      <w:r/>
      <w:bookmarkStart w:id="85" w:name="_Toc16938546"/>
      <w:r>
        <w:rPr>
          <w:rFonts w:hint="eastAsia" w:ascii="宋体" w:hAnsi="宋体" w:cs="宋体"/>
          <w:b/>
          <w:color w:val="auto"/>
          <w:szCs w:val="21"/>
          <w:highlight w:val="none"/>
        </w:rPr>
        <w:t xml:space="preserve">、磋商与评审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1.磋商仪式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Cs w:val="21"/>
          <w:highlight w:val="none"/>
          <w:u w:val="single"/>
        </w:rPr>
        <w:t xml:space="preserve">30分钟</w:t>
      </w:r>
      <w:r>
        <w:rPr>
          <w:rFonts w:hint="eastAsia" w:ascii="宋体" w:hAnsi="宋体" w:cs="宋体"/>
          <w:b/>
          <w:color w:val="auto"/>
          <w:szCs w:val="21"/>
          <w:highlight w:val="none"/>
        </w:rPr>
        <w:t xml:space="preserve">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single"/>
          <w:lang w:eastAsia="zh-CN"/>
        </w:rPr>
        <w:t xml:space="preserve">15分钟</w:t>
      </w:r>
      <w:r>
        <w:rPr>
          <w:rFonts w:hint="eastAsia" w:ascii="宋体" w:hAnsi="宋体" w:cs="宋体"/>
          <w:b/>
          <w:color w:val="auto"/>
          <w:szCs w:val="21"/>
          <w:highlight w:val="none"/>
        </w:rPr>
        <w:t xml:space="preserve">内填写并提交最后报价，未在规定时间内提交最后报价的，视作无效响应处理。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auto"/>
          <w:szCs w:val="21"/>
          <w:highlight w:val="none"/>
        </w:rPr>
        <w:t xml:space="preserve">自行选定评审专家。技术</w:t>
      </w:r>
      <w:r>
        <w:rPr>
          <w:rFonts w:hint="eastAsia" w:cs="宋体"/>
          <w:color w:val="auto"/>
          <w:szCs w:val="21"/>
          <w:highlight w:val="none"/>
        </w:rPr>
        <w:t xml:space="preserve">复杂</w:t>
      </w:r>
      <w:r>
        <w:rPr>
          <w:rFonts w:hint="eastAsia"/>
          <w:color w:val="auto"/>
          <w:szCs w:val="21"/>
          <w:highlight w:val="none"/>
        </w:rPr>
        <w:t xml:space="preserve">、专业性强的竞</w:t>
      </w:r>
      <w:r>
        <w:rPr>
          <w:rFonts w:hint="eastAsia" w:ascii="宋体" w:hAnsi="宋体" w:cs="宋体"/>
          <w:color w:val="auto"/>
          <w:szCs w:val="21"/>
          <w:highlight w:val="none"/>
        </w:rPr>
        <w:t xml:space="preserve">争性磋商采购项目，评审专家中应当包含1名法律专家。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2.4磋商小组独立工作，负责评审所有响应文件并确定成交候选人。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3.磋商评审过程的保密与公正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3.5在评审期间，采购人或采购代理机构将设专门人员与供应商联系。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4.评审过程的澄清</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5.对响应文件的审查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5.1响应文件初审分为资格性审查和符合性审查。</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5.1.1资格性检查：</w:t>
      </w:r>
      <w:r>
        <w:rPr>
          <w:rFonts w:hint="eastAsia" w:ascii="宋体" w:hAnsi="宋体" w:cs="宋体"/>
          <w:color w:val="auto"/>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5.7供应商在评审全过程中应保持通讯畅通，并安排专人与采购人或采购代理机构及磋商小组联系。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 响应文件线上格式要求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6.2通过“苏采云”系统提交政府采购客户端工具导出加密的响应文件（后缀名为zip）。</w:t>
      </w:r>
      <w:r>
        <w:rPr>
          <w:rFonts w:hint="eastAsia" w:ascii="宋体" w:hAnsi="宋体" w:cs="宋体"/>
          <w:b/>
          <w:bCs/>
          <w:color w:val="auto"/>
          <w:szCs w:val="21"/>
          <w:highlight w:val="none"/>
        </w:rPr>
        <w:t xml:space="preserve">响应文件不得超过150M</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 被认定为未实质性响应磋商文件的情形：</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7.1出现下列情形之一的，作无效响应处理，</w:t>
      </w:r>
      <w:r>
        <w:rPr>
          <w:rFonts w:hint="eastAsia" w:ascii="宋体" w:hAnsi="宋体" w:cs="宋体"/>
          <w:b/>
          <w:color w:val="auto"/>
          <w:szCs w:val="21"/>
          <w:highlight w:val="none"/>
        </w:rPr>
        <w:t xml:space="preserve">并视情报监管部门调查其相互串通投标嫌疑。</w:t>
      </w:r>
      <w:r>
        <w:rPr>
          <w:rFonts w:hint="eastAsia" w:ascii="宋体" w:hAnsi="宋体" w:cs="宋体"/>
          <w:b/>
          <w:bCs/>
          <w:color w:val="auto"/>
          <w:szCs w:val="21"/>
          <w:highlight w:val="none"/>
        </w:rPr>
        <w:tab/>
      </w:r>
      <w:r>
        <w:rPr>
          <w:rFonts w:hint="eastAsia" w:ascii="宋体" w:hAnsi="宋体" w:cs="宋体"/>
          <w:b/>
          <w:color w:val="auto"/>
          <w:szCs w:val="21"/>
          <w:highlight w:val="none"/>
        </w:rPr>
        <w:tab/>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7.1.1供应商在规定的时间内未在苏采云系统内成功提交磋商响应文件的。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7.1.2未完整提交响应文件的。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7.1.3同一供应商提交两个（含两个）以上不同的响应报价的。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7.1.4不具备磋商文件中规定的资格要求的。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7.1.5供应商在系统规定的时间内未成功解密电子响应文件的。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7.1.6未完整上传响应文件电子文档的，或上传的文件打不开的。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7.1.8响应报价超过了采购预算或最高限价的。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7.1.9未通过符合性检查的。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7.1.10不符合法律法规和磋商文件中规定的其他实质性要求的。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7.1.12响应文件含有采购人不能接受的附加条件的。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7.1.14响应文件未按照磋商文件要求加盖电子签章。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7.1.15供应商的商务技术部分得分相差悬殊，评审委员会认为得分畸低者没有实质性响应的。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7.1.16</w:t>
      </w:r>
      <w:r>
        <w:rPr>
          <w:rFonts w:hint="eastAsia" w:ascii="宋体" w:hAnsi="宋体" w:cs="宋体"/>
          <w:b/>
          <w:color w:val="auto"/>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7.1.18不同供应商的响应文件载明的项目管理成员或者联系人员为同一人；</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7.1.19不同供应商的响应文件异常一致或者响应报价呈规律性差异。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7.1.20供应商之间相互约定，一致抬高或压低投标报价；</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7.1.21供应商之间相互约定，在招标项目中轮流以高价位或低价位成交；</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7.1.23开标前已有举报，开标后发现各投标单位的报价情况与举报情况相吻合的；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7.1.24磋商小组一致认定判为无效响应的；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7.1.25不同的供应商响应文件制作机器码、文件创建标识码一致的。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其他法律法规及本磋商文件规定的属无效响应的情形：</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7.2</w:t>
      </w:r>
      <w:r>
        <w:rPr>
          <w:rFonts w:hint="eastAsia" w:ascii="宋体" w:hAnsi="宋体" w:cs="宋体"/>
          <w:b/>
          <w:color w:val="auto"/>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7.2.1法人授权委托书或投标函未加盖投标供应商公章（或电子印章）的；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7.2.2未按采购文件规定的格式填写，内容不全或关键字迹模糊、无法辨认的；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7.2.4磋商响应文件载明的项目完成期限超过采购文件规定的期限；</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7.2.5明显不符合技术规范、技术标准的要求，或者对采购文件质量要求未明确响应的；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7.2.6投标报价低于成本或者高于采购文件规定的最高限价（招标控制价）的；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7.2.7磋商响应文件载明的货物包装方式、检验标准和方法等不符合采购文件的要求；</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7.2.8组成联合体参加磋商活动的，磋商响应文件未附联合体各方共同投标协议的；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7.2.10未按采购文件要求提供磋商响应文件内容不全的；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7.2.11以他人的名义投标、串通投标、以行贿手段谋取中标或者以其他弄虚作假方式投标的；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7.3出现下列情形之一的，磋商失败。</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7.3.2出现影响采购公正的违法违规行为的；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7.3.3因重大变故，采购任务取消的。</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7.3.4磋商小组认定磋商文件存在歧义、重大缺陷导致评审工作无法进行。</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7.3.5 因系统故障原因造成磋商无法继续进行的</w:t>
      </w:r>
      <w:r>
        <w:rPr>
          <w:rFonts w:hint="eastAsia" w:ascii="宋体" w:hAnsi="宋体" w:cs="宋体"/>
          <w:b/>
          <w:color w:val="auto"/>
          <w:szCs w:val="21"/>
          <w:highlight w:val="none"/>
        </w:rPr>
        <w:t xml:space="preserve">（适用于不见面磋商模式）</w:t>
      </w:r>
      <w:r>
        <w:rPr>
          <w:rFonts w:hint="eastAsia" w:ascii="宋体" w:hAnsi="宋体" w:cs="宋体"/>
          <w:b/>
          <w:bCs/>
          <w:color w:val="auto"/>
          <w:szCs w:val="21"/>
          <w:highlight w:val="none"/>
        </w:rPr>
        <w:t xml:space="preserve">。</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 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截止时间结束后参加磋商的供应商不足三家的处理：</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7.4.1如出现响应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w:t>
      </w:r>
      <w:bookmarkEnd w:id="86"/>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1.确定成交单位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1.1成交候选供应商的选取原则和数量见磋商文件第四部分规定。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1.4.3恶意竞争，最后报价明显低于其自身合理成本且又无法提供证明的。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1.5.4不同供应商的响应文件异常一致或者响应报价呈规律性差异。</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2.4质疑答复依据《政府采购质疑和投诉办法》（财政部令第94号）。</w:t>
      </w:r>
      <w:r/>
    </w:p>
    <w:p>
      <w:pPr>
        <w:ind w:firstLine="480"/>
        <w:pageBreakBefore w:val="0"/>
        <w:spacing w:line="360" w:lineRule="auto"/>
        <w:rPr>
          <w:color w:val="auto"/>
          <w:szCs w:val="21"/>
          <w:highlight w:val="none"/>
        </w:rPr>
      </w:pPr>
      <w:r>
        <w:rPr>
          <w:rFonts w:hint="eastAsia" w:ascii="宋体" w:hAnsi="宋体" w:cs="宋体"/>
          <w:color w:val="auto"/>
          <w:szCs w:val="21"/>
          <w:highlight w:val="none"/>
        </w:rPr>
        <w:t xml:space="preserve">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 以下情形的质疑不予受理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2.5.2超出政府采购法定期限的质疑。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w:t>
      </w:r>
      <w:r>
        <w:rPr>
          <w:rFonts w:hint="eastAsia" w:ascii="宋体" w:hAnsi="宋体" w:cs="宋体"/>
          <w:b/>
          <w:bCs/>
          <w:color w:val="auto"/>
          <w:szCs w:val="21"/>
          <w:highlight w:val="none"/>
          <w:lang w:val="en-US" w:eastAsia="zh-CN"/>
        </w:rPr>
        <w:t xml:space="preserve">公章</w:t>
      </w:r>
      <w:r>
        <w:rPr>
          <w:rFonts w:hint="eastAsia" w:ascii="宋体" w:hAnsi="宋体" w:cs="宋体"/>
          <w:b/>
          <w:bCs/>
          <w:color w:val="auto"/>
          <w:szCs w:val="21"/>
          <w:highlight w:val="none"/>
        </w:rPr>
        <w:t xml:space="preserve">的系统内打印的纸质响应文件给采购代理机构。</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签订合同时需做好提交各类声明函、承诺函、业绩证明、资质、证书等相应原件的核查准备；核查后发现虚假或违背承诺的，依照相关法律法规规定处理。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2.2采购结束后，采购人若由于各种客观原因，必须对采购项目所牵涉的货物和服务进行适当地减少时，在双方协商一致的前提下，可以按照采购时的价格水平做相应的调减，并据此签订补充合同。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http://jszfcg.jsczt.cn/）相关要求是本采购文件的组成部分。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1.履约保证金金额：合同总价的5%；</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2.履约保证金缴纳时间：成交后签订合同前；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3.履约保证金缴纳形式：支票、汇票、本票或者金融机构、担保机构出具的保函、保证保险等非现金形式汇至采购人指定账户。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vertAlign w:val="baseline"/>
          <w:lang w:val="en-US" w:eastAsia="zh-CN" w:bidi="ar"/>
        </w:rPr>
        <w:suppressLineNumbers w:val="0"/>
      </w:pPr>
      <w:r>
        <w:rPr>
          <w:rFonts w:hint="eastAsia" w:ascii="宋体" w:hAnsi="宋体" w:eastAsia="宋体" w:cs="宋体"/>
          <w:color w:val="auto"/>
          <w:sz w:val="21"/>
          <w:szCs w:val="24"/>
          <w:highlight w:val="none"/>
          <w:vertAlign w:val="baseline"/>
          <w:lang w:val="en-US" w:eastAsia="zh-CN" w:bidi="ar"/>
        </w:rPr>
        <w:t xml:space="preserve">4.履约保证金退还时间：</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rPr>
          <w:rFonts w:hint="eastAsia" w:ascii="宋体" w:hAnsi="宋体" w:cs="宋体"/>
          <w:szCs w:val="21"/>
          <w:highlight w:val="none"/>
          <w:lang w:eastAsia="zh-CN"/>
        </w:rPr>
        <w:t xml:space="preserve">。</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（一）质疑的提出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1.质疑人必须是直接参加本次磋商活动的当事人。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（二）《质疑函》的受理和回复</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（三）质疑处理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1.质疑成立的处理。采购单位或采购代理机构终止采购，并建议有关部门对相关当事人予以处理。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2.质疑不成立的处理。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1）质疑人书面《申请撤回质疑函》的，不作违约处理。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2）质疑人在规定的时间内不配合进行质疑调查处理的，按自动撤回《质疑函》处理。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3）质疑人不按《质疑函》格式就提出质疑的，作违约处理。同时，视情列入不良供应商名单。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5）质疑人不能提供相关佐证材料的，采购单位、采购代理机构已指出，质疑人仍然坚持提出质疑的，作违约处理。同时，列入不良供应商名单。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7）质疑人承担使用虚假材料或恶意方式质疑的法律责任。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诉不成立的作违约处理。供应商进行质疑后，采购单位回复质疑不成立，供应商仍进行投诉的，并最终投诉不成立的，作违约处理。采购单位有权对其在1至3年内禁止参加由采购单位组织的政府采购活动的违约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6.《质疑函》、《质疑回复函》，质疑、举报、投诉不成立等相关情况，视情在泰州市政府采购网、省、国家级等相关媒体予以披露。并建议相关政府采购机构对该供应商同步实施1至3年内禁入。</w:t>
      </w:r>
      <w:r/>
    </w:p>
    <w:p>
      <w:pPr>
        <w:ind w:firstLine="480"/>
        <w:pageBreakBefore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7.质疑供应商对采购单位或代理机构的答复不满意或者采购单位或代理机构未在规定的时间内作出答复的，可以在答复期满后15个工作日内向政府采购监督管理部门投诉。</w:t>
      </w:r>
      <w:r/>
    </w:p>
    <w:p>
      <w:pP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采购项目需要落实的政府采购相关法律法规及政策：</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1.《中华人民共和国政府采购法》</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2.《中华人民共和国政府采购法实施条例》</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3.《政府采购竞争性磋商采购方式管理办法》</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4.政府采购促进中小企业发展办法的通知--财库〔2020〕46号 </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5</w:t>
      </w:r>
      <w:r>
        <w:rPr>
          <w:rFonts w:hint="eastAsia" w:ascii="宋体" w:hAnsi="宋体" w:cs="宋体"/>
          <w:color w:val="auto"/>
          <w:highlight w:val="none"/>
          <w:lang w:bidi="ar"/>
        </w:rPr>
        <w:t xml:space="preserve">.《江苏省财政厅关于进一步加大政府采购支持中小企业力度的通知》苏财购〔2022〕45号</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7</w:t>
      </w:r>
      <w:r>
        <w:rPr>
          <w:rFonts w:hint="eastAsia" w:ascii="宋体" w:hAnsi="宋体" w:cs="宋体"/>
          <w:color w:val="auto"/>
          <w:highlight w:val="none"/>
          <w:lang w:bidi="ar"/>
        </w:rPr>
        <w:t xml:space="preserve">.节能环保</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8</w:t>
      </w:r>
      <w:r>
        <w:rPr>
          <w:rFonts w:hint="eastAsia" w:ascii="宋体" w:hAnsi="宋体" w:cs="宋体"/>
          <w:color w:val="auto"/>
          <w:highlight w:val="none"/>
          <w:lang w:bidi="ar"/>
        </w:rPr>
        <w:t xml:space="preserve">.需求标准</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本项目中如有涉及商品包装、快递包装的，应当按《关于印发〈商品包装政府采购需求标准（试行）〉、〈快递包装政府采购需求标准（试行）〉的通知》（财办库〔2020〕123号）文件执行。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本项目中如有涉及采购数据中心相关设备、运维服务的，应当按《关于印发〈绿色数据中心政府采购需求标准（试行）〉的通知》（财办库〔2023〕7号）文件执行。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9</w:t>
      </w:r>
      <w:r>
        <w:rPr>
          <w:rFonts w:hint="eastAsia" w:ascii="宋体" w:hAnsi="宋体" w:cs="宋体"/>
          <w:color w:val="auto"/>
          <w:highlight w:val="none"/>
          <w:lang w:bidi="ar"/>
        </w:rPr>
        <w:t xml:space="preserve">.</w:t>
      </w:r>
      <w:r>
        <w:rPr>
          <w:rFonts w:ascii="宋体" w:hAnsi="宋体" w:cs="宋体"/>
          <w:color w:val="auto"/>
          <w:highlight w:val="none"/>
          <w:lang w:bidi="ar"/>
        </w:rPr>
        <w:t xml:space="preserve">中标、成交供应商可以采用电子履约保函形式</w:t>
      </w:r>
      <w:r>
        <w:rPr>
          <w:rFonts w:hint="eastAsia" w:ascii="宋体" w:hAnsi="宋体" w:cs="宋体"/>
          <w:color w:val="auto"/>
          <w:highlight w:val="none"/>
          <w:lang w:bidi="ar"/>
        </w:rPr>
        <w:t xml:space="preserve">代替缴纳履约保证金</w:t>
      </w:r>
      <w:r>
        <w:rPr>
          <w:rFonts w:ascii="宋体" w:hAnsi="宋体" w:cs="宋体"/>
          <w:color w:val="auto"/>
          <w:highlight w:val="none"/>
          <w:lang w:bidi="ar"/>
        </w:rPr>
        <w:t xml:space="preserve">，具体可登录江苏政府采购网的保险保函模块进行办理。</w:t>
      </w:r>
      <w:r/>
    </w:p>
    <w:p>
      <w:pPr>
        <w:ind w:firstLine="420"/>
        <w:pageBreakBefore w:val="0"/>
        <w:spacing w:line="360" w:lineRule="auto"/>
        <w:rPr>
          <w:rFonts w:hint="eastAsia" w:ascii="宋体" w:hAnsi="宋体" w:cs="宋体"/>
          <w:color w:val="auto"/>
          <w:highlight w:val="none"/>
          <w:lang w:bidi="ar"/>
        </w:rPr>
      </w:pP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w:t>
      </w:r>
      <w:r>
        <w:rPr>
          <w:rFonts w:ascii="宋体" w:hAnsi="宋体" w:cs="宋体"/>
          <w:color w:val="auto"/>
          <w:highlight w:val="none"/>
          <w:lang w:bidi="ar"/>
        </w:rPr>
        <w:t xml:space="preserve">中标、成交供应商</w:t>
      </w:r>
      <w:r>
        <w:rPr>
          <w:rFonts w:hint="eastAsia" w:ascii="宋体" w:hAnsi="宋体" w:cs="宋体"/>
          <w:color w:val="auto"/>
          <w:highlight w:val="none"/>
          <w:lang w:bidi="ar"/>
        </w:rPr>
        <w:t xml:space="preserve">可凭政府采购合同办理融资贷款，详情请见泰州市政府采购网“政采贷”专栏。</w:t>
      </w:r>
      <w:bookmarkEnd w:id="34"/>
      <w:r/>
      <w:bookmarkEnd w:id="35"/>
      <w:r/>
      <w:bookmarkEnd w:id="36"/>
      <w:r/>
      <w:r/>
    </w:p>
    <w:p>
      <w:pPr>
        <w:pStyle w:val="1150"/>
        <w:numPr>
          <w:ilvl w:val="0"/>
          <w:numId w:val="2"/>
        </w:numPr>
        <w:ind w:firstLine="422"/>
        <w:jc w:val="center"/>
        <w:pageBreakBefore w:val="0"/>
        <w:spacing w:line="360" w:lineRule="auto"/>
        <w:rPr>
          <w:rFonts w:hint="eastAsia" w:ascii="宋体" w:hAnsi="宋体" w:eastAsia="宋体"/>
          <w:b/>
          <w:color w:val="auto"/>
          <w:sz w:val="21"/>
          <w:szCs w:val="21"/>
          <w:highlight w:val="none"/>
        </w:rPr>
      </w:pPr>
      <w:r/>
      <w:bookmarkStart w:id="87" w:name="_Toc86268901"/>
      <w:r>
        <w:rPr>
          <w:rFonts w:hint="eastAsia" w:ascii="宋体" w:hAnsi="宋体" w:eastAsia="宋体"/>
          <w:b/>
          <w:color w:val="auto"/>
          <w:sz w:val="21"/>
          <w:szCs w:val="21"/>
          <w:highlight w:val="none"/>
        </w:rPr>
        <w:t xml:space="preserve"> 合同条款及格式</w:t>
      </w:r>
      <w:bookmarkEnd w:id="87"/>
      <w:r/>
      <w:r/>
    </w:p>
    <w:p>
      <w:pPr>
        <w:pStyle w:val="1178"/>
        <w:ind w:left="0"/>
        <w:jc w:val="center"/>
        <w:pageBreakBefore w:val="0"/>
        <w:spacing w:line="360" w:lineRule="auto"/>
        <w:tabs>
          <w:tab w:val="left" w:pos="1050" w:leader="none"/>
          <w:tab w:val="right" w:pos="9402" w:leader="dot"/>
        </w:tabs>
        <w:rPr>
          <w:rFonts w:hint="eastAsia" w:ascii="宋体" w:hAnsi="宋体" w:cs="宋体"/>
          <w:b/>
          <w:iCs/>
          <w:color w:val="auto"/>
          <w:szCs w:val="21"/>
          <w:highlight w:val="none"/>
        </w:rPr>
        <w:outlineLvl w:val="0"/>
      </w:pPr>
      <w:r>
        <w:rPr>
          <w:rFonts w:hint="eastAsia" w:ascii="宋体" w:hAnsi="宋体" w:cs="宋体"/>
          <w:b/>
          <w:iCs/>
          <w:color w:val="auto"/>
          <w:szCs w:val="21"/>
          <w:highlight w:val="none"/>
        </w:rPr>
        <w:t xml:space="preserve"> 合同授予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一、成交供应商在《成交通知书》</w:t>
      </w:r>
      <w:r>
        <w:rPr>
          <w:rFonts w:hint="eastAsia" w:ascii="宋体" w:hAnsi="宋体" w:cs="宋体"/>
          <w:bCs/>
          <w:color w:val="auto"/>
          <w:szCs w:val="21"/>
          <w:highlight w:val="none"/>
        </w:rPr>
        <w:t xml:space="preserve">发出后30日</w:t>
      </w:r>
      <w:r>
        <w:rPr>
          <w:rFonts w:hint="eastAsia" w:ascii="宋体" w:hAnsi="宋体" w:cs="宋体"/>
          <w:color w:val="auto"/>
          <w:szCs w:val="21"/>
          <w:highlight w:val="none"/>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七、付款方式详见磋商文件第四章。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八、项目款的支付不计息。</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179"/>
        <w:jc w:val="center"/>
        <w:pageBreakBefore w:val="0"/>
        <w:spacing w:before="0" w:after="0" w:line="360" w:lineRule="auto"/>
        <w:rPr>
          <w:rFonts w:hint="eastAsia" w:ascii="宋体" w:hAnsi="宋体" w:cs="宋体"/>
          <w:color w:val="auto"/>
          <w:sz w:val="21"/>
          <w:szCs w:val="21"/>
          <w:highlight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bookmarkStart w:id="88" w:name="_Toc87985472"/>
      <w:r/>
      <w:bookmarkStart w:id="89" w:name="_Toc498006744"/>
      <w:r/>
      <w:r/>
    </w:p>
    <w:p>
      <w:pPr>
        <w:pStyle w:val="1164"/>
        <w:jc w:val="center"/>
        <w:spacing w:before="0" w:after="0" w:line="360" w:lineRule="auto"/>
        <w:rPr>
          <w:highlight w:val="none"/>
        </w:rPr>
      </w:pPr>
      <w:r/>
      <w:bookmarkStart w:id="90" w:name="_Toc86268902"/>
      <w:r>
        <w:rPr>
          <w:rFonts w:hint="eastAsia" w:ascii="宋体" w:hAnsi="宋体"/>
          <w:sz w:val="21"/>
          <w:szCs w:val="21"/>
          <w:highlight w:val="none"/>
        </w:rPr>
        <w:t xml:space="preserve">（参考文本）</w:t>
      </w:r>
      <w:r/>
    </w:p>
    <w:p>
      <w:pPr>
        <w:jc w:val="center"/>
        <w:spacing w:line="360" w:lineRule="auto"/>
        <w:rPr>
          <w:rFonts w:ascii="宋体" w:hAnsi="宋体"/>
          <w:b/>
          <w:bCs/>
          <w:szCs w:val="21"/>
          <w:highlight w:val="none"/>
        </w:rPr>
      </w:pPr>
      <w:r>
        <w:rPr>
          <w:rFonts w:ascii="宋体" w:hAnsi="宋体"/>
          <w:b/>
          <w:bCs/>
          <w:szCs w:val="21"/>
          <w:highlight w:val="none"/>
        </w:rPr>
        <w:t xml:space="preserve">合同条款表</w:t>
      </w:r>
      <w:r/>
    </w:p>
    <w:tbl>
      <w:tblPr>
        <w:tblStyle w:val="1154"/>
        <w:tblpPr w:horzAnchor="page" w:tblpX="1899" w:vertAnchor="text" w:tblpY="398" w:leftFromText="180" w:topFromText="0" w:rightFromText="180" w:bottomFromText="0"/>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7421"/>
      </w:tblGrid>
      <w:tr>
        <w:trPr>
          <w:trHeight w:val="604"/>
          <w:tblHeader/>
        </w:trPr>
        <w:tc>
          <w:tcPr>
            <w:tcW w:w="625"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7421"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内             容</w:t>
            </w:r>
            <w:r/>
          </w:p>
        </w:tc>
      </w:tr>
      <w:tr>
        <w:trPr>
          <w:trHeight w:val="930"/>
        </w:trPr>
        <w:tc>
          <w:tcPr>
            <w:tcW w:w="625"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7421" w:type="dxa"/>
            <w:vAlign w:val="center"/>
            <w:textDirection w:val="lrTb"/>
            <w:noWrap w:val="false"/>
          </w:tcPr>
          <w:p>
            <w:pPr>
              <w:ind w:right="-11"/>
              <w:spacing w:line="360" w:lineRule="auto"/>
              <w:rPr>
                <w:rFonts w:ascii="宋体" w:hAnsi="宋体" w:cs="宋体"/>
                <w:szCs w:val="21"/>
                <w:highlight w:val="none"/>
              </w:rPr>
            </w:pPr>
            <w:r>
              <w:rPr>
                <w:rFonts w:hint="eastAsia" w:ascii="宋体" w:hAnsi="宋体" w:cs="宋体"/>
                <w:szCs w:val="21"/>
                <w:highlight w:val="none"/>
              </w:rPr>
              <w:t xml:space="preserve">买方名称：泰州市公路事业发展中心（签订合同前称招标人）</w:t>
            </w:r>
            <w:r/>
          </w:p>
          <w:p>
            <w:pPr>
              <w:ind w:right="-11"/>
              <w:spacing w:line="360" w:lineRule="auto"/>
              <w:rPr>
                <w:rFonts w:ascii="宋体" w:hAnsi="宋体" w:cs="宋体"/>
                <w:szCs w:val="21"/>
                <w:highlight w:val="none"/>
              </w:rPr>
            </w:pPr>
            <w:r>
              <w:rPr>
                <w:rFonts w:hint="eastAsia" w:ascii="宋体" w:hAnsi="宋体" w:cs="宋体"/>
                <w:szCs w:val="21"/>
                <w:highlight w:val="none"/>
              </w:rPr>
              <w:t xml:space="preserve">卖方名称：与买方签订合同协议书的当事人</w:t>
            </w:r>
            <w:r/>
          </w:p>
        </w:tc>
      </w:tr>
      <w:tr>
        <w:trPr>
          <w:trHeight w:val="1234"/>
        </w:trPr>
        <w:tc>
          <w:tcPr>
            <w:tcW w:w="625"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7421" w:type="dxa"/>
            <w:vAlign w:val="center"/>
            <w:textDirection w:val="lrTb"/>
            <w:noWrap w:val="false"/>
          </w:tcPr>
          <w:p>
            <w:pPr>
              <w:ind w:right="-11"/>
              <w:spacing w:line="360" w:lineRule="auto"/>
              <w:rPr>
                <w:rFonts w:ascii="宋体" w:hAnsi="宋体" w:cs="宋体"/>
                <w:szCs w:val="21"/>
                <w:highlight w:val="none"/>
              </w:rPr>
            </w:pPr>
            <w:r>
              <w:rPr>
                <w:rFonts w:hint="eastAsia" w:ascii="宋体" w:hAnsi="宋体" w:cs="宋体"/>
                <w:szCs w:val="21"/>
                <w:highlight w:val="none"/>
              </w:rPr>
              <w:t xml:space="preserve">履约保证金金额：</w:t>
            </w:r>
            <w:r>
              <w:rPr>
                <w:rFonts w:hint="eastAsia" w:ascii="宋体" w:hAnsi="宋体"/>
                <w:szCs w:val="21"/>
                <w:highlight w:val="none"/>
              </w:rPr>
              <w:t xml:space="preserve">合同签订前汇入合同总价5%的履约保证金至招标人指定账户</w:t>
            </w:r>
            <w:r/>
          </w:p>
          <w:p>
            <w:pPr>
              <w:ind w:right="-11"/>
              <w:spacing w:line="360" w:lineRule="auto"/>
              <w:rPr>
                <w:rFonts w:ascii="宋体" w:hAnsi="宋体" w:cs="宋体"/>
                <w:szCs w:val="21"/>
                <w:highlight w:val="none"/>
              </w:rPr>
            </w:pPr>
            <w:r>
              <w:rPr>
                <w:rFonts w:hint="eastAsia" w:ascii="宋体" w:hAnsi="宋体" w:cs="宋体"/>
                <w:szCs w:val="21"/>
                <w:highlight w:val="none"/>
              </w:rPr>
              <w:t xml:space="preserve">币种：人民币</w:t>
            </w:r>
            <w:r/>
          </w:p>
          <w:p>
            <w:pPr>
              <w:ind w:right="-11"/>
              <w:spacing w:line="360" w:lineRule="auto"/>
              <w:rPr>
                <w:rFonts w:hint="eastAsia" w:ascii="宋体" w:hAnsi="宋体"/>
                <w:bCs/>
                <w:szCs w:val="21"/>
                <w:highlight w:val="none"/>
              </w:rPr>
            </w:pPr>
            <w:r>
              <w:rPr>
                <w:rFonts w:hint="eastAsia" w:ascii="宋体" w:hAnsi="宋体"/>
                <w:bCs/>
                <w:szCs w:val="21"/>
                <w:highlight w:val="none"/>
              </w:rPr>
              <w:t xml:space="preserve">履约保证金形式：以</w:t>
            </w:r>
            <w:r>
              <w:rPr>
                <w:rFonts w:hint="eastAsia" w:ascii="宋体" w:hAnsi="宋体"/>
                <w:bCs/>
                <w:szCs w:val="21"/>
                <w:highlight w:val="none"/>
                <w:u w:val="single"/>
              </w:rPr>
              <w:t xml:space="preserve">         </w:t>
            </w:r>
            <w:r>
              <w:rPr>
                <w:rFonts w:hint="eastAsia" w:ascii="宋体" w:hAnsi="宋体"/>
                <w:bCs/>
                <w:szCs w:val="21"/>
                <w:highlight w:val="none"/>
              </w:rPr>
              <w:t xml:space="preserve">（支票、汇票、本票或者金融机构、担保机构出具的保函、保证保险、电子履约保函等非现金）形式提交；</w:t>
            </w:r>
            <w:r/>
          </w:p>
          <w:p>
            <w:pPr>
              <w:ind w:right="-11"/>
              <w:spacing w:line="360" w:lineRule="auto"/>
              <w:rPr>
                <w:rFonts w:hint="eastAsia" w:ascii="宋体" w:hAnsi="宋体"/>
                <w:bCs/>
                <w:szCs w:val="21"/>
                <w:highlight w:val="none"/>
              </w:rPr>
            </w:pPr>
            <w:r>
              <w:rPr>
                <w:rFonts w:hint="eastAsia" w:ascii="宋体" w:hAnsi="宋体"/>
                <w:b/>
                <w:bCs w:val="0"/>
                <w:szCs w:val="21"/>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right="-11"/>
              <w:spacing w:line="360" w:lineRule="auto"/>
              <w:rPr>
                <w:rFonts w:hint="eastAsia" w:ascii="宋体" w:hAnsi="宋体" w:cs="宋体"/>
                <w:szCs w:val="21"/>
                <w:highlight w:val="none"/>
              </w:rPr>
            </w:pPr>
            <w:r>
              <w:rPr>
                <w:rFonts w:hint="eastAsia" w:ascii="宋体" w:hAnsi="宋体" w:cs="宋体"/>
                <w:szCs w:val="21"/>
                <w:highlight w:val="none"/>
              </w:rPr>
              <w:t xml:space="preserve">履约保证金有效期：</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p>
          <w:p>
            <w:pPr>
              <w:spacing w:line="360" w:lineRule="auto"/>
              <w:rPr>
                <w:rFonts w:hint="eastAsia" w:ascii="宋体" w:hAnsi="宋体" w:cs="宋体"/>
                <w:szCs w:val="21"/>
                <w:highlight w:val="none"/>
              </w:rPr>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tc>
      </w:tr>
      <w:tr>
        <w:trPr>
          <w:trHeight w:val="466"/>
        </w:trPr>
        <w:tc>
          <w:tcPr>
            <w:tcW w:w="625"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42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合同履行期限</w:t>
            </w:r>
            <w:r>
              <w:rPr>
                <w:rFonts w:hint="eastAsia" w:ascii="宋体" w:hAnsi="宋体" w:cs="宋体"/>
                <w:szCs w:val="21"/>
                <w:highlight w:val="none"/>
              </w:rPr>
              <w:t xml:space="preserve">：</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30天</w:t>
            </w:r>
            <w:r>
              <w:rPr>
                <w:rFonts w:hint="eastAsia" w:ascii="宋体" w:hAnsi="宋体" w:cs="宋体"/>
                <w:szCs w:val="21"/>
                <w:highlight w:val="none"/>
              </w:rPr>
              <w:t xml:space="preserve">内完成供货。质保期限不少于2年。</w:t>
            </w:r>
            <w:r/>
          </w:p>
        </w:tc>
      </w:tr>
      <w:tr>
        <w:trPr>
          <w:trHeight w:val="764"/>
        </w:trPr>
        <w:tc>
          <w:tcPr>
            <w:tcW w:w="625"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421" w:type="dxa"/>
            <w:vAlign w:val="center"/>
            <w:textDirection w:val="lrTb"/>
            <w:noWrap w:val="false"/>
          </w:tcPr>
          <w:p>
            <w:pPr>
              <w:ind w:right="-11"/>
              <w:spacing w:line="360" w:lineRule="auto"/>
              <w:rPr>
                <w:rFonts w:ascii="宋体" w:hAnsi="宋体" w:cs="宋体"/>
                <w:szCs w:val="21"/>
                <w:highlight w:val="none"/>
              </w:rPr>
            </w:pPr>
            <w:r>
              <w:rPr>
                <w:rFonts w:hint="eastAsia" w:ascii="宋体" w:hAnsi="宋体" w:cs="宋体"/>
                <w:szCs w:val="21"/>
                <w:highlight w:val="none"/>
              </w:rPr>
              <w:t xml:space="preserve">卖方应提供的服务：免费咨询、免费培训等卖方提供的所有服务已包括在投标报价中。</w:t>
            </w:r>
            <w:r/>
          </w:p>
        </w:tc>
      </w:tr>
      <w:tr>
        <w:trPr>
          <w:trHeight w:val="585"/>
        </w:trPr>
        <w:tc>
          <w:tcPr>
            <w:tcW w:w="625" w:type="dxa"/>
            <w:vAlign w:val="center"/>
            <w:textDirection w:val="lrTb"/>
            <w:noWrap w:val="false"/>
          </w:tcPr>
          <w:p>
            <w:pPr>
              <w:ind w:right="-11"/>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7421" w:type="dxa"/>
            <w:vAlign w:val="center"/>
            <w:textDirection w:val="lrTb"/>
            <w:noWrap w:val="false"/>
          </w:tcPr>
          <w:p>
            <w:pPr>
              <w:ind w:right="-11"/>
              <w:spacing w:line="360" w:lineRule="auto"/>
              <w:rPr>
                <w:rFonts w:ascii="宋体" w:hAnsi="宋体" w:cs="宋体"/>
                <w:szCs w:val="21"/>
                <w:highlight w:val="none"/>
              </w:rPr>
            </w:pPr>
            <w:r>
              <w:rPr>
                <w:rFonts w:hint="eastAsia" w:ascii="宋体" w:hAnsi="宋体" w:cs="宋体"/>
                <w:szCs w:val="21"/>
                <w:highlight w:val="none"/>
              </w:rPr>
              <w:t xml:space="preserve">要求的备品备件有：</w:t>
            </w:r>
            <w:r>
              <w:rPr>
                <w:rFonts w:hint="eastAsia" w:ascii="宋体" w:hAnsi="宋体"/>
                <w:szCs w:val="21"/>
                <w:highlight w:val="none"/>
              </w:rPr>
              <w:t xml:space="preserve">所有产品安装所需人工、辅材等包含在产品报价中。</w:t>
            </w:r>
            <w:r/>
          </w:p>
        </w:tc>
      </w:tr>
      <w:tr>
        <w:trPr>
          <w:trHeight w:val="838"/>
        </w:trPr>
        <w:tc>
          <w:tcPr>
            <w:tcW w:w="625" w:type="dxa"/>
            <w:vAlign w:val="center"/>
            <w:textDirection w:val="lrTb"/>
            <w:noWrap w:val="false"/>
          </w:tcPr>
          <w:p>
            <w:pPr>
              <w:ind w:right="-11"/>
              <w:jc w:val="center"/>
              <w:spacing w:line="360" w:lineRule="auto"/>
              <w:rPr>
                <w:rFonts w:ascii="宋体" w:hAnsi="宋体" w:cs="宋体"/>
                <w:szCs w:val="21"/>
                <w:highlight w:val="none"/>
              </w:rPr>
            </w:pPr>
            <w:r/>
            <w:bookmarkStart w:id="91" w:name="_Hlk513629757"/>
            <w:r>
              <w:rPr>
                <w:rFonts w:hint="eastAsia" w:ascii="宋体" w:hAnsi="宋体" w:cs="宋体"/>
                <w:szCs w:val="21"/>
                <w:highlight w:val="none"/>
              </w:rPr>
              <w:t xml:space="preserve">6</w:t>
            </w:r>
            <w:r/>
          </w:p>
        </w:tc>
        <w:tc>
          <w:tcPr>
            <w:tcW w:w="7421"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质</w:t>
            </w:r>
            <w:r>
              <w:rPr>
                <w:rFonts w:ascii="宋体" w:hAnsi="宋体"/>
                <w:szCs w:val="21"/>
                <w:highlight w:val="none"/>
              </w:rPr>
              <w:t xml:space="preserve">保期：</w:t>
            </w:r>
            <w:r>
              <w:rPr>
                <w:rFonts w:hint="eastAsia" w:ascii="宋体" w:hAnsi="宋体"/>
                <w:szCs w:val="21"/>
                <w:highlight w:val="none"/>
              </w:rPr>
              <w:t xml:space="preserve">详见技术要求</w:t>
            </w:r>
            <w:r>
              <w:rPr>
                <w:rFonts w:ascii="宋体" w:hAnsi="宋体"/>
                <w:szCs w:val="21"/>
                <w:highlight w:val="none"/>
              </w:rPr>
              <w:t xml:space="preserve">（自交货验收合格之日起计</w:t>
            </w:r>
            <w:r>
              <w:rPr>
                <w:rFonts w:hint="eastAsia" w:ascii="宋体" w:hAnsi="宋体"/>
                <w:szCs w:val="21"/>
                <w:highlight w:val="none"/>
                <w:lang w:val="en-US" w:eastAsia="zh-CN"/>
              </w:rPr>
              <w:t xml:space="preserve">算</w:t>
            </w:r>
            <w:r>
              <w:rPr>
                <w:rFonts w:ascii="宋体" w:hAnsi="宋体"/>
                <w:szCs w:val="21"/>
                <w:highlight w:val="none"/>
              </w:rPr>
              <w:t xml:space="preserve">）。</w:t>
            </w:r>
            <w:bookmarkEnd w:id="91"/>
            <w:r/>
            <w:r/>
          </w:p>
        </w:tc>
      </w:tr>
      <w:tr>
        <w:trPr>
          <w:trHeight w:val="884"/>
        </w:trPr>
        <w:tc>
          <w:tcPr>
            <w:tcW w:w="62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7</w:t>
            </w:r>
            <w:r/>
          </w:p>
        </w:tc>
        <w:tc>
          <w:tcPr>
            <w:tcW w:w="7421" w:type="dxa"/>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付款方式：</w:t>
            </w:r>
            <w:r>
              <w:rPr>
                <w:rFonts w:hint="eastAsia" w:ascii="宋体" w:hAnsi="宋体"/>
                <w:szCs w:val="21"/>
                <w:highlight w:val="none"/>
                <w:lang w:eastAsia="zh-CN"/>
              </w:rPr>
              <w:t xml:space="preserve">供应商在交付货物后向采购人提出初验</w:t>
            </w:r>
            <w:r>
              <w:rPr>
                <w:rFonts w:hint="eastAsia" w:ascii="宋体" w:hAnsi="宋体"/>
                <w:szCs w:val="21"/>
                <w:highlight w:val="none"/>
                <w:lang w:val="en-US" w:eastAsia="zh-CN"/>
              </w:rPr>
              <w:t xml:space="preserve">申请</w:t>
            </w:r>
            <w:r>
              <w:rPr>
                <w:rFonts w:hint="eastAsia" w:ascii="宋体" w:hAnsi="宋体"/>
                <w:szCs w:val="21"/>
                <w:highlight w:val="none"/>
                <w:lang w:eastAsia="zh-CN"/>
              </w:rPr>
              <w:t xml:space="preserve">，产品初验合格后，支付合同总金额的95%，售后服务期满进行终验，终验合格后一个月内支付余款(以上不计利息）。</w:t>
            </w:r>
            <w:r/>
          </w:p>
        </w:tc>
      </w:tr>
      <w:tr>
        <w:trPr>
          <w:trHeight w:val="517"/>
        </w:trPr>
        <w:tc>
          <w:tcPr>
            <w:tcW w:w="6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742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合同价</w:t>
            </w:r>
            <w:r>
              <w:rPr>
                <w:rFonts w:hint="eastAsia" w:ascii="宋体" w:hAnsi="宋体" w:cs="宋体"/>
                <w:szCs w:val="21"/>
                <w:highlight w:val="none"/>
                <w:lang w:val="en-US" w:eastAsia="zh-CN"/>
              </w:rPr>
              <w:t xml:space="preserve">格</w:t>
            </w:r>
            <w:r>
              <w:rPr>
                <w:rFonts w:hint="eastAsia" w:ascii="宋体" w:hAnsi="宋体" w:cs="宋体"/>
                <w:szCs w:val="21"/>
                <w:highlight w:val="none"/>
              </w:rPr>
              <w:t xml:space="preserve">和分项价格：固定不变。</w:t>
            </w:r>
            <w:r/>
          </w:p>
        </w:tc>
      </w:tr>
      <w:tr>
        <w:trPr>
          <w:trHeight w:val="517"/>
        </w:trPr>
        <w:tc>
          <w:tcPr>
            <w:tcW w:w="6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7421" w:type="dxa"/>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中标人不得私自将本项目转包给第三方，否则将作违约处理，招标人有权撤销合同</w:t>
            </w:r>
            <w:r>
              <w:rPr>
                <w:rFonts w:hint="eastAsia" w:ascii="宋体" w:hAnsi="宋体"/>
                <w:szCs w:val="21"/>
                <w:highlight w:val="none"/>
                <w:lang w:val="en-US" w:eastAsia="zh-CN"/>
              </w:rPr>
              <w:t xml:space="preserve">并</w:t>
            </w:r>
            <w:r>
              <w:rPr>
                <w:rFonts w:hint="eastAsia" w:ascii="宋体" w:hAnsi="宋体"/>
                <w:szCs w:val="21"/>
                <w:highlight w:val="none"/>
              </w:rPr>
              <w:t xml:space="preserve">拒付货款，且中标人还要承担给招标人造成的损失。</w:t>
            </w:r>
            <w:r/>
          </w:p>
        </w:tc>
      </w:tr>
      <w:tr>
        <w:trPr>
          <w:trHeight w:val="517"/>
        </w:trPr>
        <w:tc>
          <w:tcPr>
            <w:tcW w:w="6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7421"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仲裁所在地：泰州</w:t>
            </w:r>
            <w:r/>
          </w:p>
        </w:tc>
      </w:tr>
    </w:tbl>
    <w:p>
      <w:pPr>
        <w:pStyle w:val="1164"/>
        <w:jc w:val="center"/>
        <w:spacing w:before="0" w:after="0" w:line="360" w:lineRule="auto"/>
        <w:rPr>
          <w:rFonts w:ascii="宋体" w:hAnsi="宋体" w:cs="宋体"/>
          <w:b w:val="0"/>
          <w:bCs/>
          <w:caps w:val="0"/>
          <w:sz w:val="21"/>
          <w:szCs w:val="21"/>
          <w:highlight w:val="none"/>
        </w:rPr>
      </w:pPr>
      <w:r>
        <w:rPr>
          <w:rFonts w:ascii="宋体" w:hAnsi="宋体" w:cs="宋体"/>
          <w:b w:val="0"/>
          <w:bCs/>
          <w:caps w:val="0"/>
          <w:sz w:val="21"/>
          <w:szCs w:val="21"/>
          <w:highlight w:val="none"/>
        </w:rPr>
      </w:r>
      <w:r/>
    </w:p>
    <w:p>
      <w:pPr>
        <w:spacing w:line="360" w:lineRule="auto"/>
        <w:rPr>
          <w:highlight w:val="none"/>
        </w:rPr>
      </w:pPr>
      <w:r>
        <w:rPr>
          <w:highlight w:val="none"/>
        </w:rPr>
      </w:r>
      <w:r/>
    </w:p>
    <w:p>
      <w:pPr>
        <w:pStyle w:val="1205"/>
        <w:ind w:firstLine="210"/>
        <w:jc w:val="center"/>
        <w:pageBreakBefore w:val="0"/>
        <w:spacing w:line="360" w:lineRule="auto"/>
        <w:rPr>
          <w:rFonts w:hint="eastAsia" w:ascii="宋体" w:hAnsi="宋体" w:cs="宋体"/>
          <w:b/>
          <w:color w:val="auto"/>
          <w:szCs w:val="21"/>
          <w:highlight w:val="none"/>
        </w:rPr>
      </w:pPr>
      <w:r/>
      <w:bookmarkStart w:id="92" w:name="_Toc168227940"/>
      <w:r/>
      <w:bookmarkStart w:id="93" w:name="_Toc214682915"/>
      <w:r/>
      <w:bookmarkStart w:id="94" w:name="_Toc185670844"/>
      <w:r/>
      <w:bookmarkStart w:id="95" w:name="_Toc258313648"/>
      <w:r/>
      <w:bookmarkStart w:id="96" w:name="_Toc185671412"/>
      <w:r/>
      <w:bookmarkStart w:id="97" w:name="_Toc186515170"/>
      <w:r/>
      <w:bookmarkStart w:id="98" w:name="_Toc185412941"/>
      <w:r/>
      <w:bookmarkStart w:id="99" w:name="_Toc185672381"/>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sectPr>
          <w:footerReference w:type="default" r:id="rId15"/>
          <w:footerReference w:type="even" r:id="rId16"/>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1205"/>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养护</w:t>
      </w:r>
      <w:r>
        <w:rPr>
          <w:rFonts w:hint="eastAsia" w:ascii="宋体" w:hAnsi="宋体" w:cs="宋体"/>
          <w:b/>
          <w:color w:val="auto"/>
          <w:szCs w:val="21"/>
          <w:highlight w:val="none"/>
        </w:rPr>
        <w:t xml:space="preserve">机械设备采购项目合同</w:t>
      </w:r>
      <w:r/>
    </w:p>
    <w:p>
      <w:pPr>
        <w:pStyle w:val="1206"/>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（项目编号：</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 ）</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firstLine="471"/>
        <w:pageBreakBefore w:val="0"/>
        <w:spacing w:line="360" w:lineRule="auto"/>
        <w:tabs>
          <w:tab w:val="left" w:pos="9360" w:leader="none"/>
        </w:tabs>
        <w:rPr>
          <w:rFonts w:hint="eastAsia" w:ascii="宋体" w:hAnsi="宋体"/>
          <w:color w:val="auto"/>
          <w:szCs w:val="21"/>
          <w:highlight w:val="none"/>
        </w:rPr>
      </w:pPr>
      <w:r>
        <w:rPr>
          <w:rFonts w:hint="eastAsia" w:ascii="宋体" w:hAnsi="宋体"/>
          <w:color w:val="auto"/>
          <w:szCs w:val="21"/>
          <w:highlight w:val="none"/>
        </w:rPr>
        <w:t xml:space="preserve">甲方(采购人)：</w:t>
      </w:r>
      <w:r>
        <w:rPr>
          <w:rFonts w:hint="eastAsia" w:ascii="宋体" w:hAnsi="宋体"/>
          <w:color w:val="auto"/>
          <w:szCs w:val="21"/>
          <w:highlight w:val="none"/>
          <w:u w:val="single"/>
        </w:rPr>
        <w:t xml:space="preserve">泰州市公路事业发展中心</w:t>
      </w:r>
      <w:r>
        <w:rPr>
          <w:rFonts w:hint="eastAsia" w:ascii="宋体" w:hAnsi="宋体"/>
          <w:color w:val="auto"/>
          <w:szCs w:val="21"/>
          <w:highlight w:val="none"/>
        </w:rPr>
        <w:t xml:space="preserve"> </w:t>
      </w:r>
      <w:r/>
    </w:p>
    <w:p>
      <w:pPr>
        <w:ind w:firstLine="471"/>
        <w:pageBreakBefore w:val="0"/>
        <w:spacing w:line="360" w:lineRule="auto"/>
        <w:tabs>
          <w:tab w:val="left" w:pos="9360" w:leader="none"/>
        </w:tabs>
        <w:rPr>
          <w:rFonts w:hint="eastAsia" w:ascii="宋体" w:hAnsi="宋体"/>
          <w:color w:val="auto"/>
          <w:szCs w:val="21"/>
          <w:highlight w:val="none"/>
        </w:rPr>
      </w:pPr>
      <w:r>
        <w:rPr>
          <w:rFonts w:hint="eastAsia" w:ascii="宋体" w:hAnsi="宋体"/>
          <w:color w:val="auto"/>
          <w:szCs w:val="21"/>
          <w:highlight w:val="none"/>
        </w:rPr>
        <w:t xml:space="preserve">乙方(成交人)：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签订地点：</w:t>
      </w:r>
      <w:r>
        <w:rPr>
          <w:rFonts w:hint="eastAsia" w:ascii="宋体" w:hAnsi="宋体"/>
          <w:color w:val="auto"/>
          <w:szCs w:val="21"/>
          <w:highlight w:val="none"/>
          <w:u w:val="single"/>
        </w:rPr>
        <w:t xml:space="preserve">泰州市 </w:t>
      </w:r>
      <w:r>
        <w:rPr>
          <w:rFonts w:hint="eastAsia"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甲乙双方根据</w:t>
      </w:r>
      <w:r>
        <w:rPr>
          <w:rFonts w:hint="eastAsia" w:ascii="宋体" w:hAnsi="宋体"/>
          <w:color w:val="auto"/>
          <w:szCs w:val="21"/>
          <w:highlight w:val="none"/>
          <w:u w:val="single"/>
        </w:rPr>
        <w:t xml:space="preserve">《中华人民共和国政府采购法》、《中华人民共和国民法典》及政府采购文件(文件编号:                    ) </w:t>
      </w:r>
      <w:r>
        <w:rPr>
          <w:rFonts w:hint="eastAsia" w:ascii="宋体" w:hAnsi="宋体"/>
          <w:color w:val="auto"/>
          <w:szCs w:val="21"/>
          <w:highlight w:val="none"/>
        </w:rPr>
        <w:t xml:space="preserve">，按照平等、自愿的原则，协商签订此合同。</w:t>
      </w:r>
      <w:r>
        <w:rPr>
          <w:rFonts w:hint="eastAsia" w:ascii="仿宋_GB2312" w:hAnsi="宋体" w:eastAsia="仿宋_GB2312"/>
          <w:color w:val="auto"/>
          <w:szCs w:val="21"/>
          <w:highlight w:val="none"/>
        </w:rPr>
        <w:t xml:space="preserve">             </w:t>
      </w:r>
      <w:r/>
    </w:p>
    <w:p>
      <w:pPr>
        <w:ind w:firstLine="472"/>
        <w:pageBreakBefore w:val="0"/>
        <w:spacing w:line="360" w:lineRule="auto"/>
        <w:tabs>
          <w:tab w:val="left" w:pos="0" w:leader="none"/>
          <w:tab w:val="left" w:pos="993" w:leader="none"/>
          <w:tab w:val="left" w:pos="1134" w:leader="none"/>
        </w:tabs>
        <w:rPr>
          <w:rFonts w:hint="eastAsia" w:ascii="宋体" w:hAnsi="宋体"/>
          <w:b/>
          <w:color w:val="auto"/>
          <w:szCs w:val="21"/>
          <w:highlight w:val="none"/>
        </w:rPr>
      </w:pPr>
      <w:r>
        <w:rPr>
          <w:rFonts w:hint="eastAsia" w:ascii="宋体" w:hAnsi="宋体"/>
          <w:b/>
          <w:color w:val="auto"/>
          <w:szCs w:val="21"/>
          <w:highlight w:val="none"/>
        </w:rPr>
        <w:t xml:space="preserve">一、说明</w:t>
      </w:r>
      <w:r/>
    </w:p>
    <w:p>
      <w:pPr>
        <w:ind w:left="210" w:firstLine="420"/>
        <w:pageBreakBefore w:val="0"/>
        <w:spacing w:line="360" w:lineRule="auto"/>
        <w:tabs>
          <w:tab w:val="left" w:pos="0" w:leader="none"/>
          <w:tab w:val="left" w:pos="993"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受甲方委托，</w:t>
      </w:r>
      <w:r>
        <w:rPr>
          <w:rFonts w:hint="eastAsia" w:ascii="宋体" w:hAnsi="宋体"/>
          <w:color w:val="auto"/>
          <w:szCs w:val="21"/>
          <w:highlight w:val="none"/>
          <w:u w:val="single"/>
        </w:rPr>
        <w:t xml:space="preserve">江苏华强工程投资管理咨询有限公司</w:t>
      </w:r>
      <w:r>
        <w:rPr>
          <w:rFonts w:hint="eastAsia" w:ascii="宋体" w:hAnsi="宋体"/>
          <w:color w:val="auto"/>
          <w:szCs w:val="21"/>
          <w:highlight w:val="none"/>
        </w:rPr>
        <w:t xml:space="preserve">于</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日组织了</w:t>
      </w:r>
      <w:r>
        <w:rPr>
          <w:rFonts w:hint="eastAsia" w:ascii="宋体" w:hAnsi="宋体"/>
          <w:color w:val="auto"/>
          <w:szCs w:val="21"/>
          <w:highlight w:val="none"/>
          <w:u w:val="single"/>
          <w:lang w:eastAsia="zh-CN"/>
        </w:rPr>
        <w:t xml:space="preserve">养护机械设备采购项目</w:t>
      </w:r>
      <w:r>
        <w:rPr>
          <w:rFonts w:hint="eastAsia" w:ascii="宋体" w:hAnsi="宋体"/>
          <w:color w:val="auto"/>
          <w:szCs w:val="21"/>
          <w:highlight w:val="none"/>
        </w:rPr>
        <w:t xml:space="preserve">的</w:t>
      </w:r>
      <w:r>
        <w:rPr>
          <w:rFonts w:hint="eastAsia" w:ascii="宋体" w:hAnsi="宋体"/>
          <w:color w:val="auto"/>
          <w:szCs w:val="21"/>
          <w:highlight w:val="none"/>
          <w:u w:val="single"/>
          <w:lang w:val="en-US" w:eastAsia="zh-CN"/>
        </w:rPr>
        <w:t xml:space="preserve">竞争性磋商</w:t>
      </w:r>
      <w:r>
        <w:rPr>
          <w:rFonts w:hint="eastAsia" w:ascii="宋体" w:hAnsi="宋体"/>
          <w:color w:val="auto"/>
          <w:szCs w:val="21"/>
          <w:highlight w:val="none"/>
        </w:rPr>
        <w:t xml:space="preserve">，经</w:t>
      </w:r>
      <w:r>
        <w:rPr>
          <w:rFonts w:hint="eastAsia" w:ascii="宋体" w:hAnsi="宋体"/>
          <w:color w:val="auto"/>
          <w:szCs w:val="21"/>
          <w:highlight w:val="none"/>
          <w:u w:val="single"/>
          <w:lang w:val="en-US" w:eastAsia="zh-CN"/>
        </w:rPr>
        <w:t xml:space="preserve">评审</w:t>
      </w:r>
      <w:r>
        <w:rPr>
          <w:rFonts w:hint="eastAsia" w:ascii="宋体" w:hAnsi="宋体"/>
          <w:color w:val="auto"/>
          <w:szCs w:val="21"/>
          <w:highlight w:val="none"/>
          <w:u w:val="single"/>
        </w:rPr>
        <w:t xml:space="preserve">小组</w:t>
      </w:r>
      <w:r>
        <w:rPr>
          <w:rFonts w:hint="eastAsia" w:ascii="宋体" w:hAnsi="宋体"/>
          <w:color w:val="auto"/>
          <w:szCs w:val="21"/>
          <w:highlight w:val="none"/>
        </w:rPr>
        <w:t xml:space="preserve">认真严格的评审，确定由乙方承包本项目。</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w:t>
      </w:r>
      <w:r>
        <w:rPr>
          <w:rFonts w:hint="eastAsia" w:ascii="宋体" w:hAnsi="宋体"/>
          <w:color w:val="auto"/>
          <w:szCs w:val="21"/>
          <w:highlight w:val="none"/>
        </w:rPr>
        <w:t xml:space="preserve">、</w:t>
      </w:r>
      <w:r>
        <w:rPr>
          <w:rFonts w:hint="eastAsia" w:ascii="宋体" w:hAnsi="宋体"/>
          <w:b/>
          <w:color w:val="auto"/>
          <w:szCs w:val="21"/>
          <w:highlight w:val="none"/>
        </w:rPr>
        <w:t xml:space="preserve">项目基本情况</w:t>
      </w:r>
      <w:r/>
    </w:p>
    <w:p>
      <w:pPr>
        <w:ind w:firstLine="472"/>
        <w:pageBreakBefore w:val="0"/>
        <w:spacing w:line="360" w:lineRule="auto"/>
        <w:rPr>
          <w:rFonts w:hint="eastAsia" w:ascii="宋体" w:hAnsi="宋体" w:eastAsia="宋体"/>
          <w:color w:val="auto"/>
          <w:szCs w:val="21"/>
          <w:highlight w:val="none"/>
          <w:u w:val="single"/>
          <w:lang w:eastAsia="zh-CN"/>
        </w:rPr>
      </w:pPr>
      <w:r>
        <w:rPr>
          <w:rFonts w:hint="eastAsia" w:ascii="宋体" w:hAnsi="宋体"/>
          <w:bCs/>
          <w:color w:val="auto"/>
          <w:szCs w:val="21"/>
          <w:highlight w:val="none"/>
        </w:rPr>
        <w:t xml:space="preserve">1.项目名称：</w:t>
      </w:r>
      <w:r>
        <w:rPr>
          <w:rFonts w:hint="eastAsia" w:ascii="宋体" w:hAnsi="宋体"/>
          <w:bCs/>
          <w:color w:val="auto"/>
          <w:szCs w:val="21"/>
          <w:highlight w:val="none"/>
          <w:u w:val="single"/>
          <w:lang w:eastAsia="zh-CN"/>
        </w:rPr>
        <w:t xml:space="preserve">养护机械设备采购项目</w:t>
      </w:r>
      <w:r/>
    </w:p>
    <w:p>
      <w:pPr>
        <w:ind w:firstLine="472"/>
        <w:pageBreakBefore w:val="0"/>
        <w:spacing w:line="360" w:lineRule="auto"/>
        <w:rPr>
          <w:rFonts w:hint="eastAsia" w:ascii="宋体" w:hAnsi="宋体"/>
          <w:b/>
          <w:color w:val="auto"/>
          <w:szCs w:val="21"/>
          <w:highlight w:val="none"/>
          <w:u w:val="single"/>
        </w:rPr>
      </w:pPr>
      <w:r>
        <w:rPr>
          <w:rFonts w:hint="eastAsia" w:ascii="宋体" w:hAnsi="宋体"/>
          <w:bCs/>
          <w:color w:val="auto"/>
          <w:szCs w:val="21"/>
          <w:highlight w:val="none"/>
        </w:rPr>
        <w:t xml:space="preserve">2.项目地点：</w:t>
      </w:r>
      <w:r>
        <w:rPr>
          <w:rFonts w:hint="eastAsia" w:ascii="宋体" w:hAnsi="宋体"/>
          <w:bCs/>
          <w:color w:val="auto"/>
          <w:szCs w:val="21"/>
          <w:highlight w:val="none"/>
          <w:u w:val="single"/>
        </w:rPr>
        <w:t xml:space="preserve">泰州市  </w:t>
      </w:r>
      <w:r/>
    </w:p>
    <w:p>
      <w:pPr>
        <w:ind w:firstLine="471"/>
        <w:jc w:val="left"/>
        <w:pageBreakBefore w:val="0"/>
        <w:spacing w:line="360" w:lineRule="auto"/>
        <w:widowControl/>
        <w:rPr>
          <w:rFonts w:ascii="宋体" w:cs="宋体"/>
          <w:color w:val="auto"/>
          <w:szCs w:val="21"/>
          <w:highlight w:val="none"/>
          <w:u w:val="single"/>
          <w:shd w:val="clear" w:color="auto" w:fill="ffffff"/>
        </w:rPr>
      </w:pPr>
      <w:r>
        <w:rPr>
          <w:rFonts w:hint="eastAsia" w:ascii="宋体" w:hAnsi="宋体"/>
          <w:color w:val="auto"/>
          <w:szCs w:val="21"/>
          <w:highlight w:val="none"/>
        </w:rPr>
        <w:t xml:space="preserve">3.工作内容：</w:t>
      </w:r>
      <w:r>
        <w:rPr>
          <w:rFonts w:hint="eastAsia" w:ascii="宋体" w:hAnsi="宋体"/>
          <w:color w:val="auto"/>
          <w:szCs w:val="21"/>
          <w:highlight w:val="none"/>
          <w:u w:val="single"/>
          <w:lang w:val="en-US" w:eastAsia="zh-CN"/>
        </w:rPr>
        <w:t xml:space="preserve">                                      </w:t>
      </w:r>
      <w:r>
        <w:rPr>
          <w:rFonts w:hint="eastAsia" w:ascii="宋体" w:hAnsi="宋体" w:cs="宋体"/>
          <w:bCs/>
          <w:color w:val="auto"/>
          <w:szCs w:val="21"/>
          <w:highlight w:val="none"/>
          <w:u w:val="none"/>
        </w:rPr>
        <w:t xml:space="preserve">。</w:t>
      </w:r>
      <w:r/>
    </w:p>
    <w:p>
      <w:pPr>
        <w:ind w:firstLine="471"/>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三、合同文件构成</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本协议书与下列文件一起构成合同文件：</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（1）中标（成交）通知书；</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（2）投标函及其附录；</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（3）投标承诺/服务承诺；</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（4）其他合同文件。</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响应</w:t>
      </w:r>
      <w:r>
        <w:rPr>
          <w:rFonts w:hint="eastAsia" w:ascii="宋体" w:hAnsi="宋体" w:cs="宋体"/>
          <w:bCs/>
          <w:color w:val="auto"/>
          <w:szCs w:val="21"/>
          <w:highlight w:val="none"/>
        </w:rPr>
        <w:t xml:space="preserve">文件及评标过程中形成的文字资料、询标纪要均作为本合同的组成部分，具有同等效力。</w:t>
      </w:r>
      <w:r/>
    </w:p>
    <w:p>
      <w:pPr>
        <w:ind w:firstLine="420"/>
        <w:pageBreakBefore w:val="0"/>
        <w:spacing w:line="360" w:lineRule="auto"/>
        <w:rPr>
          <w:rFonts w:ascii="宋体" w:cs="宋体"/>
          <w:color w:val="auto"/>
          <w:szCs w:val="21"/>
          <w:highlight w:val="none"/>
          <w:shd w:val="clear" w:color="auto" w:fill="ffffff"/>
          <w:lang w:val="en"/>
        </w:rPr>
      </w:pPr>
      <w:r>
        <w:rPr>
          <w:rFonts w:hint="eastAsia" w:hAnsi="宋体" w:cs="宋体"/>
          <w:bCs/>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四、项目负责人</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姓名</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身份证号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五、合同服务期</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u w:val="single"/>
        </w:rPr>
        <w:t xml:space="preserve"> 合同签订后</w:t>
      </w:r>
      <w:r>
        <w:rPr>
          <w:rFonts w:hint="eastAsia" w:ascii="宋体" w:hAnsi="宋体"/>
          <w:color w:val="auto"/>
          <w:szCs w:val="21"/>
          <w:highlight w:val="none"/>
          <w:u w:val="single"/>
          <w:lang w:val="en-US" w:eastAsia="zh-CN"/>
        </w:rPr>
        <w:t xml:space="preserve">30天</w:t>
      </w:r>
      <w:r>
        <w:rPr>
          <w:rFonts w:hint="eastAsia" w:ascii="宋体" w:hAnsi="宋体"/>
          <w:color w:val="auto"/>
          <w:szCs w:val="21"/>
          <w:highlight w:val="none"/>
          <w:u w:val="single"/>
        </w:rPr>
        <w:t xml:space="preserve">内完成供货。</w:t>
      </w:r>
      <w:r/>
    </w:p>
    <w:p>
      <w:pPr>
        <w:pStyle w:val="1207"/>
        <w:ind w:firstLine="472"/>
        <w:pageBreakBefore w:val="0"/>
        <w:spacing w:before="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六、费用及结算方式</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1.合同类型：</w:t>
      </w:r>
      <w:r>
        <w:rPr>
          <w:rFonts w:hint="eastAsia" w:ascii="宋体" w:hAnsi="宋体"/>
          <w:color w:val="auto"/>
          <w:szCs w:val="21"/>
          <w:highlight w:val="none"/>
          <w:u w:val="single"/>
        </w:rPr>
        <w:t xml:space="preserve"> 单价合同</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2.合同签订金额：</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小写）</w:t>
      </w:r>
      <w:r>
        <w:rPr>
          <w:rFonts w:ascii="宋体" w:hAnsi="宋体"/>
          <w:color w:val="auto"/>
          <w:szCs w:val="21"/>
          <w:highlight w:val="none"/>
          <w:u w:val="none"/>
        </w:rPr>
        <w:t xml:space="preserve">   </w:t>
      </w:r>
      <w:r>
        <w:rPr>
          <w:rFonts w:hint="eastAsia" w:ascii="宋体" w:hAnsi="宋体"/>
          <w:color w:val="auto"/>
          <w:szCs w:val="21"/>
          <w:highlight w:val="none"/>
          <w:u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3.付款方式：</w:t>
      </w:r>
      <w:r>
        <w:rPr>
          <w:rFonts w:hint="eastAsia" w:ascii="宋体" w:hAnsi="宋体"/>
          <w:szCs w:val="21"/>
          <w:highlight w:val="none"/>
          <w:lang w:eastAsia="zh-CN"/>
        </w:rPr>
        <w:t xml:space="preserve">供应商在交付货物后向采购人提出初验，产品初验合格后，支付合同总金额的95%，售后服务期满进行终验，终验合格后一个月内支付余款(以上不计利息）。</w:t>
      </w:r>
      <w:r>
        <w:rPr>
          <w:rFonts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u w:val="single"/>
          <w:lang w:val="en-US" w:eastAsia="zh-CN"/>
        </w:rPr>
        <w:t xml:space="preserve">2年</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5.质保金：</w:t>
      </w:r>
      <w:r>
        <w:rPr>
          <w:rFonts w:hint="eastAsia" w:ascii="宋体" w:hAnsi="宋体"/>
          <w:color w:val="auto"/>
          <w:szCs w:val="21"/>
          <w:highlight w:val="none"/>
          <w:u w:val="single"/>
          <w:lang w:val="en-US" w:eastAsia="zh-CN"/>
        </w:rPr>
        <w:t xml:space="preserve">无</w:t>
      </w:r>
      <w:r>
        <w:rPr>
          <w:rFonts w:hint="eastAsia" w:ascii="宋体" w:hAnsi="宋体"/>
          <w:color w:val="auto"/>
          <w:szCs w:val="21"/>
          <w:highlight w:val="none"/>
          <w:u w:val="none"/>
          <w:lang w:val="en-US" w:eastAsia="zh-CN"/>
        </w:rPr>
        <w:t xml:space="preserve">。</w:t>
      </w:r>
      <w:r>
        <w:rPr>
          <w:rFonts w:hint="eastAsia" w:ascii="宋体" w:hAnsi="宋体"/>
          <w:color w:val="auto"/>
          <w:szCs w:val="21"/>
          <w:highlight w:val="none"/>
          <w:u w:val="none"/>
        </w:rPr>
        <w:t xml:space="preserve"> </w:t>
      </w:r>
      <w:r>
        <w:rPr>
          <w:rFonts w:ascii="宋体" w:hAnsi="宋体"/>
          <w:color w:val="auto"/>
          <w:szCs w:val="21"/>
          <w:highlight w:val="none"/>
        </w:rPr>
        <w:t xml:space="preserve">           </w:t>
      </w:r>
      <w:r/>
    </w:p>
    <w:p>
      <w:pPr>
        <w:pStyle w:val="1207"/>
        <w:ind w:firstLine="422"/>
        <w:pageBreakBefore w:val="0"/>
        <w:spacing w:before="0" w:line="360" w:lineRule="auto"/>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七、乙方需要提交的竣工资料套数：</w:t>
      </w:r>
      <w:r>
        <w:rPr>
          <w:rFonts w:hint="eastAsia" w:ascii="宋体" w:hAnsi="宋体"/>
          <w:b/>
          <w:color w:val="auto"/>
          <w:sz w:val="21"/>
          <w:szCs w:val="21"/>
          <w:highlight w:val="none"/>
          <w:u w:val="single"/>
        </w:rPr>
        <w:t xml:space="preserve"> </w:t>
      </w:r>
      <w:r>
        <w:rPr>
          <w:rFonts w:ascii="宋体" w:hAnsi="宋体"/>
          <w:b/>
          <w:color w:val="auto"/>
          <w:sz w:val="21"/>
          <w:szCs w:val="21"/>
          <w:highlight w:val="none"/>
          <w:u w:val="single"/>
        </w:rPr>
        <w:t xml:space="preserve">  </w:t>
      </w:r>
      <w:r>
        <w:rPr>
          <w:rFonts w:hint="eastAsia" w:ascii="宋体" w:hAnsi="宋体"/>
          <w:b/>
          <w:color w:val="auto"/>
          <w:sz w:val="21"/>
          <w:szCs w:val="21"/>
          <w:highlight w:val="none"/>
        </w:rPr>
        <w:t xml:space="preserve">套。</w:t>
      </w:r>
      <w:r/>
    </w:p>
    <w:p>
      <w:pPr>
        <w:ind w:firstLine="472"/>
        <w:pageBreakBefore w:val="0"/>
        <w:spacing w:line="360" w:lineRule="auto"/>
        <w:rPr>
          <w:rFonts w:hint="eastAsia" w:ascii="宋体" w:hAnsi="宋体" w:cs="Arial"/>
          <w:color w:val="auto"/>
          <w:szCs w:val="21"/>
          <w:highlight w:val="none"/>
        </w:rPr>
      </w:pPr>
      <w:r>
        <w:rPr>
          <w:rFonts w:hint="eastAsia" w:ascii="宋体" w:hAnsi="宋体"/>
          <w:b/>
          <w:color w:val="auto"/>
          <w:szCs w:val="21"/>
          <w:highlight w:val="none"/>
        </w:rPr>
        <w:t xml:space="preserve">八、</w:t>
      </w:r>
      <w:r>
        <w:rPr>
          <w:rFonts w:hint="eastAsia" w:ascii="宋体" w:hAnsi="宋体" w:cs="Arial"/>
          <w:b/>
          <w:color w:val="auto"/>
          <w:szCs w:val="21"/>
          <w:highlight w:val="none"/>
        </w:rPr>
        <w:t xml:space="preserve">履约保证金</w:t>
      </w:r>
      <w:r/>
    </w:p>
    <w:p>
      <w:pPr>
        <w:ind w:firstLine="480"/>
        <w:pageBreakBefore w:val="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履约保证金为</w:t>
      </w:r>
      <w:r>
        <w:rPr>
          <w:rFonts w:hint="eastAsia" w:ascii="宋体" w:hAnsi="宋体"/>
          <w:color w:val="auto"/>
          <w:szCs w:val="21"/>
          <w:highlight w:val="none"/>
          <w:lang w:val="en-US" w:eastAsia="zh-CN"/>
        </w:rPr>
        <w:t xml:space="preserve">合同总</w:t>
      </w:r>
      <w:r>
        <w:rPr>
          <w:rFonts w:hint="eastAsia" w:ascii="宋体" w:hAnsi="宋体"/>
          <w:color w:val="auto"/>
          <w:szCs w:val="21"/>
          <w:highlight w:val="none"/>
        </w:rPr>
        <w:t xml:space="preserve">价的</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以保证乙方遵守本合同的一切条款、条件和承诺，该保证金在甲方的规定存续期间不计息。</w:t>
      </w:r>
      <w:r/>
    </w:p>
    <w:p>
      <w:pPr>
        <w:ind w:firstLine="472"/>
        <w:pageBreakBefore w:val="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九、合同生效和终止</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本合同经双方签字盖章后生效，至双方按照合同的规定履行完各自的义务和责任后自然失效。</w:t>
      </w:r>
      <w:r/>
    </w:p>
    <w:p>
      <w:pPr>
        <w:ind w:firstLine="471"/>
        <w:pageBreakBefore w:val="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十、违约责任</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rPr>
        <w:t xml:space="preserve">甲方无正当理由拒收货物、拒付货物款的，由甲方向乙方偿付合同总价的5%违约金。</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2.</w:t>
      </w:r>
      <w:r>
        <w:rPr>
          <w:rFonts w:hint="eastAsia" w:asciiTheme="minorEastAsia" w:hAnsiTheme="minorEastAsia" w:eastAsiaTheme="minorEastAsia"/>
          <w:szCs w:val="21"/>
          <w:highlight w:val="none"/>
        </w:rPr>
        <w:t xml:space="preserve">甲方未按合同规定的期限向乙方支付货款的，每逾期1天甲方向乙方偿付欠款总额的5‰滞纳金，但累计滞纳金总额不超过欠款总额的5% 。</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3.</w:t>
      </w:r>
      <w:r>
        <w:rPr>
          <w:rFonts w:hint="eastAsia" w:asciiTheme="minorEastAsia" w:hAnsiTheme="minorEastAsia" w:eastAsiaTheme="minorEastAsia"/>
          <w:szCs w:val="21"/>
          <w:highlight w:val="none"/>
        </w:rPr>
        <w:t xml:space="preserve">如乙方不能交付货物、完成安装调试的，甲方有权扣留全部履约保证金；同时乙方应向甲方支付合同总价5%的违约金。</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4.</w:t>
      </w:r>
      <w:r>
        <w:rPr>
          <w:rFonts w:hint="eastAsia" w:asciiTheme="minorEastAsia" w:hAnsiTheme="minorEastAsia" w:eastAsiaTheme="minorEastAsia"/>
          <w:szCs w:val="21"/>
          <w:highlight w:val="none"/>
        </w:rPr>
        <w:t xml:space="preserve">乙方逾期交付的，每逾期1天，乙方向甲方偿付合同总额的5‰的滞纳金。如乙方逾期交付达10天，甲方有权解除合同，解除合同的通知自到达乙方时生效。</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5.</w:t>
      </w:r>
      <w:r>
        <w:rPr>
          <w:rFonts w:hint="eastAsia" w:asciiTheme="minorEastAsia" w:hAnsiTheme="minorEastAsia" w:eastAsiaTheme="minorEastAsia"/>
          <w:szCs w:val="21"/>
          <w:highlight w:val="none"/>
        </w:rPr>
        <w:t xml:space="preserve">乙方所交付的货物品种、型号、规格不符合合同规定的，甲方有权拒收。甲方拒收的，乙方应向甲方支付货款总额5%的违约金。甲方未拒收的，经监督部门发现后将向有关部门反映，并责成乙方按照采购结果提供货物和服务，同时视情给予不退还部分或全部履约保证金、暂停一至三年参加甲方组织的政府采购活动的处理。</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6.</w:t>
      </w:r>
      <w:r>
        <w:rPr>
          <w:rFonts w:hint="eastAsia" w:asciiTheme="minorEastAsia" w:hAnsiTheme="minorEastAsia" w:eastAsiaTheme="minorEastAsia"/>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7.</w:t>
      </w:r>
      <w:r>
        <w:rPr>
          <w:rFonts w:hint="eastAsia" w:asciiTheme="minorEastAsia" w:hAnsiTheme="minorEastAsia" w:eastAsiaTheme="minorEastAsia"/>
          <w:szCs w:val="21"/>
          <w:highlight w:val="none"/>
        </w:rPr>
        <w:t xml:space="preserve">乙方未按本合同的规定向甲方交付履约保证金的，应按应交付履约保证金的100%向甲方支付违约金，该违约金的支付不影响乙方应承担的其他违约责任。</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8.</w:t>
      </w:r>
      <w:r>
        <w:rPr>
          <w:rFonts w:hint="eastAsia" w:asciiTheme="minorEastAsia" w:hAnsiTheme="minorEastAsia" w:eastAsiaTheme="minorEastAsia"/>
          <w:szCs w:val="21"/>
          <w:highlight w:val="none"/>
        </w:rPr>
        <w:t xml:space="preserve">乙方未按本合同的规定和</w:t>
      </w:r>
      <w:r>
        <w:rPr>
          <w:rFonts w:hint="eastAsia" w:asciiTheme="minorEastAsia" w:hAnsiTheme="minorEastAsia" w:eastAsiaTheme="minorEastAsia"/>
          <w:szCs w:val="21"/>
          <w:highlight w:val="none"/>
          <w:lang w:val="en-US" w:eastAsia="zh-CN"/>
        </w:rPr>
        <w:t xml:space="preserve">服务方案中</w:t>
      </w:r>
      <w:r>
        <w:rPr>
          <w:rFonts w:hint="eastAsia" w:asciiTheme="minorEastAsia" w:hAnsiTheme="minorEastAsia" w:eastAsiaTheme="minorEastAsia"/>
          <w:szCs w:val="21"/>
          <w:highlight w:val="none"/>
        </w:rPr>
        <w:t xml:space="preserve">提供伴随服务/售后服务的，应按合同总价款的5 %向甲方承担违约责任。</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9.</w:t>
      </w:r>
      <w:r>
        <w:rPr>
          <w:rFonts w:hint="eastAsia" w:asciiTheme="minorEastAsia" w:hAnsiTheme="minorEastAsia" w:eastAsiaTheme="minorEastAsia"/>
          <w:szCs w:val="21"/>
          <w:highlight w:val="none"/>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10.</w:t>
      </w:r>
      <w:r>
        <w:rPr>
          <w:rFonts w:hint="eastAsia" w:asciiTheme="minorEastAsia" w:hAnsiTheme="minorEastAsia" w:eastAsiaTheme="minorEastAsia"/>
          <w:szCs w:val="21"/>
          <w:highlight w:val="none"/>
        </w:rPr>
        <w:t xml:space="preserve">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rPr>
        <w:t xml:space="preserve">其他违约责任约定</w:t>
      </w:r>
      <w:r>
        <w:rPr>
          <w:rFonts w:hint="eastAsia" w:asciiTheme="minorEastAsia" w:hAnsiTheme="minorEastAsia" w:eastAsiaTheme="minorEastAsia"/>
          <w:szCs w:val="21"/>
          <w:highlight w:val="none"/>
          <w:lang w:eastAsia="zh-CN"/>
        </w:rPr>
        <w:t xml:space="preserve">：</w:t>
      </w:r>
      <w:r/>
    </w:p>
    <w:p>
      <w:pPr>
        <w:ind w:firstLine="471"/>
        <w:jc w:val="left"/>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71"/>
        <w:jc w:val="left"/>
        <w:pageBreakBefore w:val="0"/>
        <w:spacing w:line="360" w:lineRule="auto"/>
        <w:rPr>
          <w:rFonts w:hint="eastAsia" w:ascii="宋体" w:hAnsi="宋体"/>
          <w:b/>
          <w:color w:val="auto"/>
          <w:szCs w:val="21"/>
          <w:highlight w:val="none"/>
          <w:lang w:val="zh-CN"/>
        </w:rPr>
      </w:pPr>
      <w:r>
        <w:rPr>
          <w:rFonts w:hint="eastAsia" w:ascii="宋体" w:hAnsi="宋体"/>
          <w:b/>
          <w:color w:val="auto"/>
          <w:szCs w:val="21"/>
          <w:highlight w:val="none"/>
        </w:rPr>
        <w:t xml:space="preserve">十一、</w:t>
      </w:r>
      <w:r>
        <w:rPr>
          <w:rFonts w:hint="eastAsia" w:ascii="宋体" w:hAnsi="宋体"/>
          <w:b/>
          <w:color w:val="auto"/>
          <w:szCs w:val="21"/>
          <w:highlight w:val="none"/>
          <w:lang w:val="zh-CN"/>
        </w:rPr>
        <w:t xml:space="preserve">争议处理</w:t>
      </w:r>
      <w:r/>
    </w:p>
    <w:p>
      <w:pPr>
        <w:ind w:firstLine="471"/>
        <w:jc w:val="left"/>
        <w:pageBreakBefore w:val="0"/>
        <w:spacing w:line="360" w:lineRule="auto"/>
        <w:rPr>
          <w:rFonts w:hint="eastAsia" w:ascii="宋体" w:hAnsi="宋体"/>
          <w:b/>
          <w:color w:val="auto"/>
          <w:szCs w:val="21"/>
          <w:highlight w:val="none"/>
        </w:rPr>
      </w:pPr>
      <w:r>
        <w:rPr>
          <w:rFonts w:hint="eastAsia" w:ascii="宋体" w:hAnsi="宋体"/>
          <w:color w:val="auto"/>
          <w:szCs w:val="21"/>
          <w:highlight w:val="none"/>
        </w:rPr>
        <w:t xml:space="preserve">本</w:t>
      </w:r>
      <w:r>
        <w:rPr>
          <w:rFonts w:hint="eastAsia" w:ascii="宋体" w:hAnsi="宋体"/>
          <w:color w:val="auto"/>
          <w:szCs w:val="21"/>
          <w:highlight w:val="none"/>
          <w:lang w:val="zh-CN"/>
        </w:rPr>
        <w:t xml:space="preserve">合同在履行过程中，</w:t>
      </w:r>
      <w:r>
        <w:rPr>
          <w:rFonts w:hint="eastAsia" w:ascii="宋体" w:hAnsi="宋体"/>
          <w:color w:val="auto"/>
          <w:szCs w:val="21"/>
          <w:highlight w:val="none"/>
        </w:rPr>
        <w:t xml:space="preserve">如</w:t>
      </w:r>
      <w:r>
        <w:rPr>
          <w:rFonts w:hint="eastAsia" w:ascii="宋体" w:hAnsi="宋体"/>
          <w:color w:val="auto"/>
          <w:szCs w:val="21"/>
          <w:highlight w:val="none"/>
          <w:lang w:val="zh-CN"/>
        </w:rPr>
        <w:t xml:space="preserve">发生争议，甲方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rPr>
        <w:t xml:space="preserve">与乙方及时协商解决。协商不成时，</w:t>
      </w:r>
      <w:r>
        <w:rPr>
          <w:rFonts w:hint="eastAsia" w:ascii="宋体" w:hAnsi="宋体"/>
          <w:color w:val="auto"/>
          <w:szCs w:val="21"/>
          <w:highlight w:val="none"/>
        </w:rPr>
        <w:t xml:space="preserve">应向</w:t>
      </w:r>
      <w:r>
        <w:rPr>
          <w:rFonts w:hint="eastAsia" w:ascii="宋体" w:hAnsi="宋体"/>
          <w:color w:val="auto"/>
          <w:szCs w:val="21"/>
          <w:highlight w:val="none"/>
          <w:lang w:val="zh-CN"/>
        </w:rPr>
        <w:t xml:space="preserve">甲方所在地人民法院</w:t>
      </w:r>
      <w:r>
        <w:rPr>
          <w:rFonts w:hint="eastAsia" w:ascii="宋体" w:hAnsi="宋体"/>
          <w:color w:val="auto"/>
          <w:szCs w:val="21"/>
          <w:highlight w:val="none"/>
        </w:rPr>
        <w:t xml:space="preserve">提起诉讼</w:t>
      </w:r>
      <w:r>
        <w:rPr>
          <w:rFonts w:hint="eastAsia" w:ascii="宋体" w:hAnsi="宋体"/>
          <w:color w:val="auto"/>
          <w:szCs w:val="21"/>
          <w:highlight w:val="none"/>
          <w:lang w:val="zh-CN"/>
        </w:rPr>
        <w:t xml:space="preserve">。</w:t>
      </w:r>
      <w:r/>
    </w:p>
    <w:p>
      <w:pPr>
        <w:ind w:firstLine="471"/>
        <w:jc w:val="left"/>
        <w:pageBreakBefore w:val="0"/>
        <w:spacing w:line="360" w:lineRule="auto"/>
        <w:rPr>
          <w:rFonts w:hint="eastAsia" w:ascii="宋体" w:hAnsi="宋体"/>
          <w:b/>
          <w:color w:val="auto"/>
          <w:szCs w:val="21"/>
          <w:highlight w:val="none"/>
          <w:lang w:val="zh-CN"/>
        </w:rPr>
      </w:pPr>
      <w:r>
        <w:rPr>
          <w:rFonts w:hint="eastAsia" w:ascii="宋体" w:hAnsi="宋体"/>
          <w:b/>
          <w:color w:val="auto"/>
          <w:szCs w:val="21"/>
          <w:highlight w:val="none"/>
        </w:rPr>
        <w:t xml:space="preserve">十二、</w:t>
      </w:r>
      <w:r>
        <w:rPr>
          <w:rFonts w:hint="eastAsia" w:ascii="宋体" w:hAnsi="宋体"/>
          <w:b/>
          <w:color w:val="auto"/>
          <w:szCs w:val="21"/>
          <w:highlight w:val="none"/>
          <w:lang w:val="zh-CN"/>
        </w:rPr>
        <w:t xml:space="preserve">其他</w:t>
      </w:r>
      <w:r/>
    </w:p>
    <w:p>
      <w:pPr>
        <w:ind w:firstLine="471"/>
        <w:jc w:val="left"/>
        <w:pageBreakBefore w:val="0"/>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未经过甲方的书面同意，乙方不得转让其应履行的合同项下的义务，</w:t>
      </w:r>
      <w:r>
        <w:rPr>
          <w:rFonts w:hint="eastAsia" w:ascii="宋体" w:hAnsi="宋体"/>
          <w:color w:val="auto"/>
          <w:szCs w:val="21"/>
          <w:highlight w:val="none"/>
        </w:rPr>
        <w:t xml:space="preserve">或</w:t>
      </w:r>
      <w:r>
        <w:rPr>
          <w:rFonts w:hint="eastAsia" w:ascii="宋体" w:hAnsi="宋体"/>
          <w:color w:val="auto"/>
          <w:szCs w:val="21"/>
          <w:highlight w:val="none"/>
          <w:lang w:val="zh-CN"/>
        </w:rPr>
        <w:t xml:space="preserve">将部分合同项下的义务分包给其他单位完成。</w:t>
      </w:r>
      <w:r/>
    </w:p>
    <w:p>
      <w:pPr>
        <w:ind w:firstLine="471"/>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3．本合同</w:t>
      </w:r>
      <w:r>
        <w:rPr>
          <w:rFonts w:hint="eastAsia" w:ascii="宋体" w:hAnsi="宋体"/>
          <w:color w:val="auto"/>
          <w:szCs w:val="21"/>
          <w:highlight w:val="none"/>
          <w:u w:val="single"/>
        </w:rPr>
        <w:t xml:space="preserve">一式肆份</w:t>
      </w:r>
      <w:r>
        <w:rPr>
          <w:rFonts w:hint="eastAsia" w:ascii="宋体" w:hAnsi="宋体"/>
          <w:color w:val="auto"/>
          <w:szCs w:val="21"/>
          <w:highlight w:val="none"/>
        </w:rPr>
        <w:t xml:space="preserve">，自签订之日起生效。</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本合同未尽事宜，遵照《</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》有关条文执行。</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甲方：</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乙方</w:t>
      </w:r>
      <w:r>
        <w:rPr>
          <w:rFonts w:ascii="宋体" w:hAnsi="宋体"/>
          <w:color w:val="auto"/>
          <w:szCs w:val="21"/>
          <w:highlight w:val="none"/>
        </w:rPr>
        <w:t xml:space="preserve">：</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（盖单位章）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（盖单位章）</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（签字）</w:t>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（签字）</w:t>
      </w:r>
      <w:r/>
    </w:p>
    <w:p>
      <w:pPr>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  月 </w:t>
      </w:r>
      <w:r>
        <w:rPr>
          <w:rFonts w:ascii="宋体" w:hAnsi="宋体"/>
          <w:color w:val="auto"/>
          <w:szCs w:val="21"/>
          <w:highlight w:val="none"/>
        </w:rPr>
        <w:tab/>
      </w:r>
      <w:r>
        <w:rPr>
          <w:rFonts w:ascii="宋体" w:hAnsi="宋体"/>
          <w:color w:val="auto"/>
          <w:szCs w:val="21"/>
          <w:highlight w:val="none"/>
        </w:rPr>
        <w:t xml:space="preserve">  日</w:t>
      </w:r>
      <w:r/>
    </w:p>
    <w:p>
      <w:pPr>
        <w:ind w:firstLine="472"/>
        <w:pageBreakBefore w:val="0"/>
        <w:spacing w:line="360" w:lineRule="auto"/>
        <w:tabs>
          <w:tab w:val="left" w:pos="0" w:leader="none"/>
          <w:tab w:val="left" w:pos="993" w:leader="none"/>
          <w:tab w:val="left" w:pos="1134" w:leader="none"/>
        </w:tabs>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color w:val="auto"/>
          <w:szCs w:val="21"/>
          <w:highlight w:val="none"/>
          <w:lang w:val="zh-CN"/>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附件二  廉政合同</w:t>
      </w:r>
      <w:bookmarkEnd w:id="92"/>
      <w:r/>
      <w:bookmarkEnd w:id="93"/>
      <w:r/>
      <w:bookmarkEnd w:id="94"/>
      <w:r/>
      <w:bookmarkEnd w:id="95"/>
      <w:r/>
      <w:bookmarkEnd w:id="96"/>
      <w:r/>
      <w:bookmarkEnd w:id="97"/>
      <w:r/>
      <w:bookmarkEnd w:id="98"/>
      <w:r/>
      <w:bookmarkEnd w:id="99"/>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廉政合同</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根据交通</w:t>
      </w:r>
      <w:r>
        <w:rPr>
          <w:rFonts w:hint="eastAsia" w:ascii="宋体" w:hAnsi="宋体" w:cs="宋体"/>
          <w:color w:val="auto"/>
          <w:szCs w:val="21"/>
          <w:highlight w:val="none"/>
          <w:lang w:val="en-US" w:eastAsia="zh-CN"/>
        </w:rPr>
        <w:t xml:space="preserve">运输</w:t>
      </w:r>
      <w:r>
        <w:rPr>
          <w:rFonts w:hint="eastAsia" w:ascii="宋体" w:hAnsi="宋体" w:cs="宋体"/>
          <w:color w:val="auto"/>
          <w:szCs w:val="21"/>
          <w:highlight w:val="none"/>
        </w:rPr>
        <w:t xml:space="preserve">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auto"/>
          <w:szCs w:val="21"/>
          <w:highlight w:val="none"/>
          <w:u w:val="single"/>
        </w:rPr>
        <w:t xml:space="preserve">  （工程名称） </w:t>
      </w:r>
      <w:r>
        <w:rPr>
          <w:rFonts w:hint="eastAsia" w:ascii="宋体" w:hAnsi="宋体" w:cs="宋体"/>
          <w:color w:val="auto"/>
          <w:szCs w:val="21"/>
          <w:highlight w:val="none"/>
        </w:rPr>
        <w:t xml:space="preserve">的甲方</w:t>
      </w:r>
      <w:r>
        <w:rPr>
          <w:rFonts w:hint="eastAsia" w:ascii="宋体" w:hAnsi="宋体" w:cs="宋体"/>
          <w:color w:val="auto"/>
          <w:szCs w:val="21"/>
          <w:highlight w:val="none"/>
          <w:u w:val="single"/>
        </w:rPr>
        <w:t xml:space="preserve">泰州市公路事业发展中心</w:t>
      </w:r>
      <w:r>
        <w:rPr>
          <w:rFonts w:hint="eastAsia" w:ascii="宋体" w:hAnsi="宋体" w:cs="宋体"/>
          <w:color w:val="auto"/>
          <w:szCs w:val="21"/>
          <w:highlight w:val="none"/>
        </w:rPr>
        <w:t xml:space="preserve">与乙方</w:t>
      </w:r>
      <w:r>
        <w:rPr>
          <w:rFonts w:hint="eastAsia" w:ascii="宋体" w:hAnsi="宋体" w:cs="宋体"/>
          <w:color w:val="auto"/>
          <w:szCs w:val="21"/>
          <w:highlight w:val="none"/>
          <w:u w:val="single"/>
        </w:rPr>
        <w:t xml:space="preserve"> （全称）</w:t>
      </w:r>
      <w:r>
        <w:rPr>
          <w:rFonts w:hint="eastAsia" w:ascii="宋体" w:hAnsi="宋体" w:cs="宋体"/>
          <w:color w:val="auto"/>
          <w:szCs w:val="21"/>
          <w:highlight w:val="none"/>
        </w:rPr>
        <w:t xml:space="preserve">特订立如下合同。</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第一条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甲乙双方的权利和义务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（一）严格遵守国家有关法律法规及交通运输部的有关规定。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（二）严格执行 </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的合同文件，自觉按合同办事。</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（四）建立健全廉政制度，开展廉政教育，设立廉政告示牌，公布举报电话，监督并认真查处违法违纪行为。</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（五）发现对方在业务活动中有违反廉政规定的行为，有及时提醒对方纠正的权利和义务。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第二条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甲方的义务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（一）甲方作为工程项目的建设单位，认真履行合同规定的甲方责任。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（二）甲方及其工作人员不得索要或接受乙方的礼金、有价证券和贵重物品，不得在乙方报销任何应由甲方或个人支付的费用等。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（三）甲方工作人员不得参加乙方安排的超标准宴请和娱乐活动；不得接受乙方提供的通讯工具、交通工具和高档办公用品等。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（四）甲方及其工作人员不得要求或者接受乙方为其住房装修、婚丧嫁娶活动、配偶子女的工作安排以及出国出境、旅游等提供方便等。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（五）甲方工作人员的配偶、子女不得从事与甲方工程有关的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第三条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乙方的义务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（一）乙方不得以任何理由向甲方及其工作人员行贿或馈赠礼金、有价证券、贵重礼品。</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（二）乙方不得以任何名义为甲方及其工作人员报销应由甲方单位或个人支付的任何费用。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（三）乙方不得以任何理由安排甲方工作人员参加超标准宴请及娱乐活动。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（四）乙方不得为甲方单位和个人购置或提供通讯工具、交通工具和高档办公用品等。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（五）乙方及其工作人员不得索取或接受工作关系单位的礼金、有价证券和贵重物品，不得在工作关系报销任何应由乙方或个人支付的费用。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（六）乙方及其工作人员必须严格按照   规程办事，不得损害甲方利益。</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第四条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违约责任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第五条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第六条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本合同有效期为甲乙双方签署之日起至该工程项目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后止。</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第七条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本合同作为XX合同的附件，与XX合同具有同等的法律效力，经合同双方签署</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立即生效。</w:t>
      </w:r>
      <w:r/>
    </w:p>
    <w:p>
      <w:pPr>
        <w:ind w:left="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第八条</w:t>
      </w:r>
      <w:r>
        <w:rPr>
          <w:rFonts w:hint="eastAsia" w:ascii="宋体" w:hAnsi="宋体" w:cs="宋体"/>
          <w:color w:val="auto"/>
          <w:szCs w:val="21"/>
          <w:highlight w:val="none"/>
        </w:rPr>
        <w:t xml:space="preserve"> 本合同一式四份，双方各执两份。</w:t>
      </w:r>
      <w:r/>
    </w:p>
    <w:p>
      <w:pPr>
        <w:jc w:val="left"/>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rPr>
        <w:tab/>
      </w:r>
      <w:r>
        <w:rPr>
          <w:rFonts w:hint="eastAsia" w:ascii="宋体" w:hAnsi="宋体" w:cs="宋体"/>
          <w:color w:val="auto"/>
          <w:szCs w:val="21"/>
          <w:highlight w:val="none"/>
        </w:rPr>
        <w:t xml:space="preserve">                                   乙方：</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（盖单位章）                                （盖单位章）</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（签字）</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（签字）</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年  </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年 </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widowControl/>
        <w:rPr>
          <w:rFonts w:hint="eastAsia" w:ascii="宋体" w:hAnsi="宋体" w:cs="宋体"/>
          <w:b/>
          <w:color w:val="auto"/>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1150"/>
        <w:numPr>
          <w:ilvl w:val="0"/>
          <w:numId w:val="2"/>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项目需求</w:t>
      </w:r>
      <w:bookmarkEnd w:id="90"/>
      <w:r/>
      <w:r/>
    </w:p>
    <w:p>
      <w:pPr>
        <w:numPr>
          <w:ilvl w:val="0"/>
          <w:numId w:val="3"/>
        </w:numPr>
        <w:ind w:firstLine="413"/>
        <w:jc w:val="left"/>
        <w:keepLines/>
        <w:keepNext/>
        <w:pageBreakBefore w:val="0"/>
        <w:spacing w:line="360" w:lineRule="auto"/>
        <w:rPr>
          <w:rFonts w:hint="default"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12吨新能源洗扫车技术参数要求</w:t>
      </w:r>
      <w:r/>
    </w:p>
    <w:tbl>
      <w:tblPr>
        <w:tblStyle w:val="11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151"/>
        <w:gridCol w:w="3672"/>
        <w:gridCol w:w="3563"/>
      </w:tblGrid>
      <w:tr>
        <w:trPr>
          <w:trHeight w:val="23"/>
        </w:trPr>
        <w:tc>
          <w:tcPr>
            <w:tcMar>
              <w:left w:w="108" w:type="dxa"/>
              <w:top w:w="0" w:type="dxa"/>
              <w:right w:w="108" w:type="dxa"/>
              <w:bottom w:w="0" w:type="dxa"/>
            </w:tcMar>
            <w:tcW w:w="553" w:type="pct"/>
            <w:vAlign w:val="top"/>
            <w:textDirection w:val="lrTb"/>
            <w:noWrap w:val="false"/>
          </w:tcPr>
          <w:p>
            <w:pPr>
              <w:pStyle w:val="1203"/>
              <w:ind w:left="182"/>
              <w:jc w:val="center"/>
              <w:spacing w:before="56" w:line="221" w:lineRule="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项 目</w:t>
            </w:r>
            <w:r/>
          </w:p>
        </w:tc>
        <w:tc>
          <w:tcPr>
            <w:tcMar>
              <w:left w:w="108" w:type="dxa"/>
              <w:top w:w="0" w:type="dxa"/>
              <w:right w:w="108" w:type="dxa"/>
              <w:bottom w:w="0" w:type="dxa"/>
            </w:tcMar>
            <w:tcW w:w="610" w:type="pct"/>
            <w:vAlign w:val="top"/>
            <w:textDirection w:val="lrTb"/>
            <w:noWrap w:val="false"/>
          </w:tcPr>
          <w:p>
            <w:pPr>
              <w:pStyle w:val="1203"/>
              <w:ind w:left="182"/>
              <w:jc w:val="center"/>
              <w:spacing w:before="56" w:line="221" w:lineRule="auto"/>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序号</w:t>
            </w:r>
            <w:r/>
          </w:p>
        </w:tc>
        <w:tc>
          <w:tcPr>
            <w:tcMar>
              <w:left w:w="108" w:type="dxa"/>
              <w:top w:w="0" w:type="dxa"/>
              <w:right w:w="108" w:type="dxa"/>
              <w:bottom w:w="0" w:type="dxa"/>
            </w:tcMar>
            <w:tcW w:w="1947" w:type="pct"/>
            <w:vAlign w:val="top"/>
            <w:textDirection w:val="lrTb"/>
            <w:noWrap w:val="false"/>
          </w:tcPr>
          <w:p>
            <w:pPr>
              <w:pStyle w:val="1203"/>
              <w:jc w:val="center"/>
              <w:spacing w:before="65" w:line="220"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3"/>
                <w:sz w:val="21"/>
                <w:szCs w:val="21"/>
                <w:highlight w:val="none"/>
              </w:rPr>
              <w:t xml:space="preserve">项目名称</w:t>
            </w:r>
            <w:r/>
          </w:p>
        </w:tc>
        <w:tc>
          <w:tcPr>
            <w:tcMar>
              <w:left w:w="108" w:type="dxa"/>
              <w:top w:w="0" w:type="dxa"/>
              <w:right w:w="108" w:type="dxa"/>
              <w:bottom w:w="0" w:type="dxa"/>
            </w:tcMar>
            <w:tcW w:w="1889" w:type="pct"/>
            <w:vAlign w:val="top"/>
            <w:textDirection w:val="lrTb"/>
            <w:noWrap w:val="false"/>
          </w:tcPr>
          <w:p>
            <w:pPr>
              <w:pStyle w:val="1203"/>
              <w:jc w:val="center"/>
              <w:spacing w:before="64" w:line="219"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1"/>
                <w:sz w:val="21"/>
                <w:szCs w:val="21"/>
                <w:highlight w:val="none"/>
              </w:rPr>
              <w:t xml:space="preserve">技术规格及参数要求</w:t>
            </w:r>
            <w:r/>
          </w:p>
        </w:tc>
      </w:tr>
    </w:tbl>
    <w:p>
      <w:pPr>
        <w:jc w:val="center"/>
        <w:keepLines/>
        <w:keepNext/>
        <w:pageBreakBefore w:val="0"/>
        <w:spacing w:line="360" w:lineRule="auto"/>
        <w:rPr>
          <w:rFonts w:hint="eastAsia" w:ascii="宋体" w:hAnsi="宋体" w:eastAsia="宋体" w:cs="宋体"/>
          <w:b w:val="0"/>
          <w:bCs/>
          <w:sz w:val="21"/>
          <w:szCs w:val="21"/>
          <w:highlight w:val="none"/>
          <w:vertAlign w:val="baseline"/>
        </w:rPr>
        <w:sectPr>
          <w:footerReference w:type="default" r:id="rId17"/>
          <w:footnotePr/>
          <w:endnotePr/>
          <w:type w:val="continuous"/>
          <w:pgSz w:w="11907" w:h="16840" w:orient="portrait"/>
          <w:pgMar w:top="1134" w:right="1134" w:bottom="1134" w:left="1560" w:header="851" w:footer="851" w:gutter="0"/>
          <w:cols w:num="1" w:sep="0" w:space="720" w:equalWidth="1"/>
          <w:docGrid w:linePitch="360"/>
        </w:sectPr>
        <w:outlineLvl w:val="1"/>
      </w:pPr>
      <w:r>
        <w:rPr>
          <w:rFonts w:hint="eastAsia" w:ascii="宋体" w:hAnsi="宋体" w:eastAsia="宋体" w:cs="宋体"/>
          <w:b w:val="0"/>
          <w:bCs/>
          <w:sz w:val="21"/>
          <w:szCs w:val="21"/>
          <w:highlight w:val="none"/>
          <w:vertAlign w:val="baseline"/>
        </w:rPr>
      </w:r>
      <w:r/>
    </w:p>
    <w:tbl>
      <w:tblPr>
        <w:tblStyle w:val="11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151"/>
        <w:gridCol w:w="3671"/>
        <w:gridCol w:w="3564"/>
      </w:tblGrid>
      <w:tr>
        <w:trPr>
          <w:cantSplit/>
          <w:trHeight w:val="23"/>
        </w:trPr>
        <w:tc>
          <w:tcPr>
            <w:tcMar>
              <w:left w:w="108" w:type="dxa"/>
              <w:top w:w="0" w:type="dxa"/>
              <w:right w:w="108" w:type="dxa"/>
              <w:bottom w:w="0" w:type="dxa"/>
            </w:tcMar>
            <w:tcW w:w="553" w:type="pct"/>
            <w:vAlign w:val="top"/>
            <w:vMerge w:val="restart"/>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t xml:space="preserve">整 车 参 数</w:t>
            </w:r>
            <w:r/>
          </w:p>
        </w:tc>
        <w:tc>
          <w:tcPr>
            <w:tcMar>
              <w:left w:w="108" w:type="dxa"/>
              <w:top w:w="0" w:type="dxa"/>
              <w:right w:w="108" w:type="dxa"/>
              <w:bottom w:w="0" w:type="dxa"/>
            </w:tcMar>
            <w:tcW w:w="610" w:type="pct"/>
            <w:vAlign w:val="top"/>
            <w:textDirection w:val="lrTb"/>
            <w:noWrap w:val="false"/>
          </w:tcPr>
          <w:p>
            <w:pPr>
              <w:pStyle w:val="1203"/>
              <w:ind w:left="32"/>
              <w:jc w:val="center"/>
              <w:spacing w:before="174" w:line="241" w:lineRule="auto"/>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rPr>
              <w:t xml:space="preserve">1</w:t>
            </w:r>
            <w:r/>
          </w:p>
        </w:tc>
        <w:tc>
          <w:tcPr>
            <w:tcMar>
              <w:left w:w="108" w:type="dxa"/>
              <w:top w:w="0" w:type="dxa"/>
              <w:right w:w="108" w:type="dxa"/>
              <w:bottom w:w="0" w:type="dxa"/>
            </w:tcMar>
            <w:tcW w:w="1946" w:type="pct"/>
            <w:vAlign w:val="top"/>
            <w:textDirection w:val="lrTb"/>
            <w:noWrap w:val="false"/>
          </w:tcPr>
          <w:p>
            <w:pPr>
              <w:pStyle w:val="1203"/>
              <w:jc w:val="center"/>
              <w:spacing w:before="84" w:line="222"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17"/>
                <w:sz w:val="21"/>
                <w:szCs w:val="21"/>
                <w:highlight w:val="none"/>
              </w:rPr>
              <w:t xml:space="preserve">长(</w:t>
            </w:r>
            <w:r>
              <w:rPr>
                <w:rFonts w:hint="eastAsia" w:ascii="宋体" w:hAnsi="宋体" w:eastAsia="宋体" w:cs="宋体"/>
                <w:sz w:val="21"/>
                <w:szCs w:val="21"/>
                <w:highlight w:val="none"/>
              </w:rPr>
              <w:t xml:space="preserve">mm</w:t>
            </w:r>
            <w:r>
              <w:rPr>
                <w:rFonts w:hint="eastAsia" w:ascii="宋体" w:hAnsi="宋体" w:eastAsia="宋体" w:cs="宋体"/>
                <w:spacing w:val="17"/>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12" w:line="236" w:lineRule="auto"/>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spacing w:val="-5"/>
                <w:sz w:val="21"/>
                <w:szCs w:val="21"/>
                <w:highlight w:val="none"/>
              </w:rPr>
              <w:t xml:space="preserve">≤7</w:t>
            </w:r>
            <w:r>
              <w:rPr>
                <w:rFonts w:hint="eastAsia" w:cs="宋体"/>
                <w:spacing w:val="-5"/>
                <w:sz w:val="21"/>
                <w:szCs w:val="21"/>
                <w:highlight w:val="none"/>
                <w:lang w:val="en-US" w:eastAsia="zh-CN"/>
              </w:rPr>
              <w:t xml:space="preserve">200</w:t>
            </w:r>
            <w:r/>
          </w:p>
        </w:tc>
      </w:tr>
      <w:tr>
        <w:trPr>
          <w:cantSplit/>
          <w:trHeight w:val="23"/>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74" w:line="241" w:lineRule="auto"/>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rPr>
              <w:t xml:space="preserve">2</w:t>
            </w:r>
            <w:r/>
          </w:p>
        </w:tc>
        <w:tc>
          <w:tcPr>
            <w:tcMar>
              <w:left w:w="108" w:type="dxa"/>
              <w:top w:w="0" w:type="dxa"/>
              <w:right w:w="108" w:type="dxa"/>
              <w:bottom w:w="0" w:type="dxa"/>
            </w:tcMar>
            <w:tcW w:w="1946" w:type="pct"/>
            <w:vAlign w:val="top"/>
            <w:textDirection w:val="lrTb"/>
            <w:noWrap w:val="false"/>
          </w:tcPr>
          <w:p>
            <w:pPr>
              <w:pStyle w:val="1203"/>
              <w:jc w:val="center"/>
              <w:spacing w:before="151" w:line="220"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17"/>
                <w:sz w:val="21"/>
                <w:szCs w:val="21"/>
                <w:highlight w:val="none"/>
              </w:rPr>
              <w:t xml:space="preserve">宽(</w:t>
            </w:r>
            <w:r>
              <w:rPr>
                <w:rFonts w:hint="eastAsia" w:ascii="宋体" w:hAnsi="宋体" w:eastAsia="宋体" w:cs="宋体"/>
                <w:sz w:val="21"/>
                <w:szCs w:val="21"/>
                <w:highlight w:val="none"/>
              </w:rPr>
              <w:t xml:space="preserve">mm</w:t>
            </w:r>
            <w:r>
              <w:rPr>
                <w:rFonts w:hint="eastAsia" w:ascii="宋体" w:hAnsi="宋体" w:eastAsia="宋体" w:cs="宋体"/>
                <w:spacing w:val="17"/>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72" w:line="236"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5"/>
                <w:sz w:val="21"/>
                <w:szCs w:val="21"/>
                <w:highlight w:val="none"/>
              </w:rPr>
              <w:t xml:space="preserve">≤2400</w:t>
            </w:r>
            <w:r/>
          </w:p>
        </w:tc>
      </w:tr>
      <w:tr>
        <w:trPr>
          <w:cantSplit/>
          <w:trHeight w:val="23"/>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5"/>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rPr>
              <w:t xml:space="preserve">3</w:t>
            </w:r>
            <w:r/>
          </w:p>
        </w:tc>
        <w:tc>
          <w:tcPr>
            <w:tcMar>
              <w:left w:w="108" w:type="dxa"/>
              <w:top w:w="0" w:type="dxa"/>
              <w:right w:w="108" w:type="dxa"/>
              <w:bottom w:w="0" w:type="dxa"/>
            </w:tcMar>
            <w:tcW w:w="1946" w:type="pct"/>
            <w:vAlign w:val="top"/>
            <w:textDirection w:val="lrTb"/>
            <w:noWrap w:val="false"/>
          </w:tcPr>
          <w:p>
            <w:pPr>
              <w:pStyle w:val="1203"/>
              <w:jc w:val="center"/>
              <w:spacing w:before="71" w:line="219"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17"/>
                <w:sz w:val="21"/>
                <w:szCs w:val="21"/>
                <w:highlight w:val="none"/>
              </w:rPr>
              <w:t xml:space="preserve">高(</w:t>
            </w:r>
            <w:r>
              <w:rPr>
                <w:rFonts w:hint="eastAsia" w:ascii="宋体" w:hAnsi="宋体" w:eastAsia="宋体" w:cs="宋体"/>
                <w:sz w:val="21"/>
                <w:szCs w:val="21"/>
                <w:highlight w:val="none"/>
              </w:rPr>
              <w:t xml:space="preserve">mm</w:t>
            </w:r>
            <w:r>
              <w:rPr>
                <w:rFonts w:hint="eastAsia" w:ascii="宋体" w:hAnsi="宋体" w:eastAsia="宋体" w:cs="宋体"/>
                <w:spacing w:val="17"/>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72" w:line="236" w:lineRule="auto"/>
              <w:rPr>
                <w:rFonts w:hint="default" w:ascii="宋体" w:hAnsi="宋体" w:eastAsia="宋体" w:cs="宋体"/>
                <w:b w:val="0"/>
                <w:bCs/>
                <w:sz w:val="21"/>
                <w:szCs w:val="21"/>
                <w:highlight w:val="none"/>
                <w:vertAlign w:val="baseline"/>
                <w:lang w:val="en-US"/>
              </w:rPr>
            </w:pPr>
            <w:r>
              <w:rPr>
                <w:rFonts w:hint="eastAsia" w:ascii="宋体" w:hAnsi="宋体" w:eastAsia="宋体" w:cs="宋体"/>
                <w:spacing w:val="-5"/>
                <w:sz w:val="21"/>
                <w:szCs w:val="21"/>
                <w:highlight w:val="none"/>
              </w:rPr>
              <w:t xml:space="preserve">≤29</w:t>
            </w:r>
            <w:r>
              <w:rPr>
                <w:rFonts w:hint="eastAsia" w:cs="宋体"/>
                <w:spacing w:val="-5"/>
                <w:sz w:val="21"/>
                <w:szCs w:val="21"/>
                <w:highlight w:val="none"/>
                <w:lang w:val="en-US" w:eastAsia="zh-CN"/>
              </w:rPr>
              <w:t xml:space="preserve">00</w:t>
            </w:r>
            <w:r/>
          </w:p>
        </w:tc>
      </w:tr>
      <w:tr>
        <w:trPr>
          <w:cantSplit/>
          <w:trHeight w:val="23"/>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5" w:line="241" w:lineRule="auto"/>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4</w:t>
            </w:r>
            <w:r/>
          </w:p>
        </w:tc>
        <w:tc>
          <w:tcPr>
            <w:tcMar>
              <w:left w:w="108" w:type="dxa"/>
              <w:top w:w="0" w:type="dxa"/>
              <w:right w:w="108" w:type="dxa"/>
              <w:bottom w:w="0" w:type="dxa"/>
            </w:tcMar>
            <w:tcW w:w="1946" w:type="pct"/>
            <w:vAlign w:val="top"/>
            <w:textDirection w:val="lrTb"/>
            <w:noWrap w:val="false"/>
          </w:tcPr>
          <w:p>
            <w:pPr>
              <w:pStyle w:val="1203"/>
              <w:jc w:val="center"/>
              <w:spacing w:before="63" w:line="214"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10"/>
                <w:sz w:val="21"/>
                <w:szCs w:val="21"/>
                <w:highlight w:val="none"/>
              </w:rPr>
              <w:t xml:space="preserve">总质量(</w:t>
            </w:r>
            <w:r>
              <w:rPr>
                <w:rFonts w:hint="eastAsia" w:ascii="宋体" w:hAnsi="宋体" w:eastAsia="宋体" w:cs="宋体"/>
                <w:sz w:val="21"/>
                <w:szCs w:val="21"/>
                <w:highlight w:val="none"/>
              </w:rPr>
              <w:t xml:space="preserve">kg</w:t>
            </w:r>
            <w:r>
              <w:rPr>
                <w:rFonts w:hint="eastAsia" w:ascii="宋体" w:hAnsi="宋体" w:eastAsia="宋体" w:cs="宋体"/>
                <w:spacing w:val="10"/>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25" w:line="237"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5"/>
                <w:sz w:val="21"/>
                <w:szCs w:val="21"/>
                <w:highlight w:val="none"/>
              </w:rPr>
              <w:t xml:space="preserve">≥12490</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06"/>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rPr>
              <w:t xml:space="preserve">5</w:t>
            </w:r>
            <w:r/>
          </w:p>
        </w:tc>
        <w:tc>
          <w:tcPr>
            <w:tcMar>
              <w:left w:w="108" w:type="dxa"/>
              <w:top w:w="0" w:type="dxa"/>
              <w:right w:w="108" w:type="dxa"/>
              <w:bottom w:w="0" w:type="dxa"/>
            </w:tcMar>
            <w:tcW w:w="1946" w:type="pct"/>
            <w:vAlign w:val="top"/>
            <w:textDirection w:val="lrTb"/>
            <w:noWrap w:val="false"/>
          </w:tcPr>
          <w:p>
            <w:pPr>
              <w:pStyle w:val="1203"/>
              <w:jc w:val="center"/>
              <w:spacing w:before="64" w:line="214" w:lineRule="auto"/>
              <w:rPr>
                <w:rFonts w:hint="eastAsia" w:ascii="宋体" w:hAnsi="宋体" w:eastAsia="宋体" w:cs="宋体"/>
                <w:b w:val="0"/>
                <w:bCs/>
                <w:sz w:val="21"/>
                <w:szCs w:val="21"/>
                <w:highlight w:val="none"/>
                <w:vertAlign w:val="baseline"/>
              </w:rPr>
            </w:pPr>
            <w:r>
              <w:rPr>
                <w:rFonts w:hint="eastAsia" w:ascii="宋体" w:hAnsi="宋体" w:eastAsia="宋体" w:cs="宋体"/>
                <w:spacing w:val="8"/>
                <w:sz w:val="21"/>
                <w:szCs w:val="21"/>
                <w:highlight w:val="none"/>
              </w:rPr>
              <w:t xml:space="preserve">整备质量(</w:t>
            </w:r>
            <w:r>
              <w:rPr>
                <w:rFonts w:hint="eastAsia" w:ascii="宋体" w:hAnsi="宋体" w:eastAsia="宋体" w:cs="宋体"/>
                <w:sz w:val="21"/>
                <w:szCs w:val="21"/>
                <w:highlight w:val="none"/>
              </w:rPr>
              <w:t xml:space="preserve">kg</w:t>
            </w:r>
            <w:r>
              <w:rPr>
                <w:rFonts w:hint="eastAsia" w:ascii="宋体" w:hAnsi="宋体" w:eastAsia="宋体" w:cs="宋体"/>
                <w:spacing w:val="8"/>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74" w:line="236" w:lineRule="auto"/>
              <w:rPr>
                <w:rFonts w:hint="default" w:ascii="宋体" w:hAnsi="宋体" w:eastAsia="宋体" w:cs="宋体"/>
                <w:b w:val="0"/>
                <w:bCs/>
                <w:sz w:val="21"/>
                <w:szCs w:val="21"/>
                <w:highlight w:val="none"/>
                <w:vertAlign w:val="baseline"/>
                <w:lang w:val="en-US"/>
              </w:rPr>
            </w:pPr>
            <w:r>
              <w:rPr>
                <w:rFonts w:hint="eastAsia" w:ascii="宋体" w:hAnsi="宋体" w:eastAsia="宋体" w:cs="宋体"/>
                <w:spacing w:val="-5"/>
                <w:sz w:val="21"/>
                <w:szCs w:val="21"/>
                <w:highlight w:val="none"/>
              </w:rPr>
              <w:t xml:space="preserve">≤8</w:t>
            </w:r>
            <w:r>
              <w:rPr>
                <w:rFonts w:hint="eastAsia" w:cs="宋体"/>
                <w:spacing w:val="-5"/>
                <w:sz w:val="21"/>
                <w:szCs w:val="21"/>
                <w:highlight w:val="none"/>
                <w:lang w:val="en-US" w:eastAsia="zh-CN"/>
              </w:rPr>
              <w:t xml:space="preserve">500</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07"/>
              <w:rPr>
                <w:rFonts w:hint="eastAsia" w:ascii="宋体" w:hAnsi="宋体" w:cs="宋体"/>
                <w:bCs/>
                <w:szCs w:val="21"/>
                <w:highlight w:val="none"/>
              </w:rPr>
            </w:pPr>
            <w:r>
              <w:rPr>
                <w:rFonts w:hint="eastAsia" w:ascii="宋体" w:hAnsi="宋体" w:eastAsia="宋体" w:cs="宋体"/>
                <w:sz w:val="21"/>
                <w:szCs w:val="21"/>
                <w:highlight w:val="none"/>
              </w:rPr>
              <w:t xml:space="preserve">6</w:t>
            </w:r>
            <w:r/>
          </w:p>
        </w:tc>
        <w:tc>
          <w:tcPr>
            <w:tcMar>
              <w:left w:w="108" w:type="dxa"/>
              <w:top w:w="0" w:type="dxa"/>
              <w:right w:w="108" w:type="dxa"/>
              <w:bottom w:w="0" w:type="dxa"/>
            </w:tcMar>
            <w:tcW w:w="1946" w:type="pct"/>
            <w:vAlign w:val="top"/>
            <w:textDirection w:val="lrTb"/>
            <w:noWrap w:val="false"/>
          </w:tcPr>
          <w:p>
            <w:pPr>
              <w:pStyle w:val="1203"/>
              <w:jc w:val="center"/>
              <w:spacing w:before="55" w:line="214" w:lineRule="auto"/>
              <w:rPr>
                <w:rFonts w:hint="eastAsia" w:ascii="宋体" w:hAnsi="宋体" w:eastAsia="宋体" w:cs="宋体"/>
                <w:spacing w:val="8"/>
                <w:sz w:val="21"/>
                <w:szCs w:val="21"/>
                <w:highlight w:val="none"/>
              </w:rPr>
            </w:pPr>
            <w:r>
              <w:rPr>
                <w:rFonts w:hint="eastAsia" w:ascii="宋体" w:hAnsi="宋体" w:eastAsia="宋体" w:cs="宋体"/>
                <w:spacing w:val="7"/>
                <w:sz w:val="21"/>
                <w:szCs w:val="21"/>
                <w:highlight w:val="none"/>
              </w:rPr>
              <w:t xml:space="preserve">额定载质量(</w:t>
            </w:r>
            <w:r>
              <w:rPr>
                <w:rFonts w:hint="eastAsia" w:ascii="宋体" w:hAnsi="宋体" w:eastAsia="宋体" w:cs="宋体"/>
                <w:sz w:val="21"/>
                <w:szCs w:val="21"/>
                <w:highlight w:val="none"/>
              </w:rPr>
              <w:t xml:space="preserve">kg</w:t>
            </w:r>
            <w:r>
              <w:rPr>
                <w:rFonts w:hint="eastAsia" w:ascii="宋体" w:hAnsi="宋体" w:eastAsia="宋体" w:cs="宋体"/>
                <w:spacing w:val="7"/>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17" w:line="237" w:lineRule="auto"/>
              <w:rPr>
                <w:rFonts w:hint="eastAsia" w:ascii="宋体" w:hAnsi="宋体" w:eastAsia="宋体" w:cs="宋体"/>
                <w:spacing w:val="-5"/>
                <w:sz w:val="21"/>
                <w:szCs w:val="21"/>
                <w:highlight w:val="none"/>
              </w:rPr>
            </w:pPr>
            <w:r>
              <w:rPr>
                <w:rFonts w:hint="eastAsia" w:ascii="宋体" w:hAnsi="宋体" w:eastAsia="宋体" w:cs="宋体"/>
                <w:spacing w:val="-6"/>
                <w:sz w:val="21"/>
                <w:szCs w:val="21"/>
                <w:highlight w:val="none"/>
              </w:rPr>
              <w:t xml:space="preserve">≥</w:t>
            </w:r>
            <w:r>
              <w:rPr>
                <w:rFonts w:hint="eastAsia" w:cs="宋体"/>
                <w:spacing w:val="-6"/>
                <w:sz w:val="21"/>
                <w:szCs w:val="21"/>
                <w:highlight w:val="none"/>
                <w:lang w:val="en-US" w:eastAsia="zh-CN"/>
              </w:rPr>
              <w:t xml:space="preserve">4000</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eastAsia="宋体" w:cs="宋体"/>
                <w:sz w:val="21"/>
                <w:szCs w:val="21"/>
                <w:highlight w:val="none"/>
              </w:rPr>
              <w:t xml:space="preserve">7</w:t>
            </w:r>
            <w:r/>
          </w:p>
        </w:tc>
        <w:tc>
          <w:tcPr>
            <w:tcMar>
              <w:left w:w="108" w:type="dxa"/>
              <w:top w:w="0" w:type="dxa"/>
              <w:right w:w="108" w:type="dxa"/>
              <w:bottom w:w="0" w:type="dxa"/>
            </w:tcMar>
            <w:tcW w:w="1946" w:type="pct"/>
            <w:vAlign w:val="top"/>
            <w:textDirection w:val="lrTb"/>
            <w:noWrap w:val="false"/>
          </w:tcPr>
          <w:p>
            <w:pPr>
              <w:pStyle w:val="1203"/>
              <w:jc w:val="center"/>
              <w:spacing w:before="52" w:line="219" w:lineRule="auto"/>
              <w:rPr>
                <w:rFonts w:hint="eastAsia" w:ascii="宋体" w:hAnsi="宋体" w:eastAsia="宋体" w:cs="宋体"/>
                <w:spacing w:val="8"/>
                <w:sz w:val="21"/>
                <w:szCs w:val="21"/>
                <w:highlight w:val="none"/>
              </w:rPr>
            </w:pPr>
            <w:r>
              <w:rPr>
                <w:rFonts w:hint="eastAsia" w:ascii="宋体" w:hAnsi="宋体" w:eastAsia="宋体" w:cs="宋体"/>
                <w:spacing w:val="13"/>
                <w:sz w:val="21"/>
                <w:szCs w:val="21"/>
                <w:highlight w:val="none"/>
              </w:rPr>
              <w:t xml:space="preserve">轴距(</w:t>
            </w:r>
            <w:r>
              <w:rPr>
                <w:rFonts w:hint="eastAsia" w:ascii="宋体" w:hAnsi="宋体" w:eastAsia="宋体" w:cs="宋体"/>
                <w:sz w:val="21"/>
                <w:szCs w:val="21"/>
                <w:highlight w:val="none"/>
              </w:rPr>
              <w:t xml:space="preserve">mm</w:t>
            </w:r>
            <w:r>
              <w:rPr>
                <w:rFonts w:hint="eastAsia" w:ascii="宋体" w:hAnsi="宋体" w:eastAsia="宋体" w:cs="宋体"/>
                <w:spacing w:val="13"/>
                <w:sz w:val="21"/>
                <w:szCs w:val="21"/>
                <w:highlight w:val="none"/>
              </w:rPr>
              <w:t xml:space="preserve">)</w:t>
            </w:r>
            <w:r/>
          </w:p>
        </w:tc>
        <w:tc>
          <w:tcPr>
            <w:tcMar>
              <w:left w:w="108" w:type="dxa"/>
              <w:top w:w="0" w:type="dxa"/>
              <w:right w:w="108" w:type="dxa"/>
              <w:bottom w:w="0" w:type="dxa"/>
            </w:tcMar>
            <w:tcW w:w="1889" w:type="pct"/>
            <w:vAlign w:val="top"/>
            <w:textDirection w:val="lrTb"/>
            <w:noWrap w:val="false"/>
          </w:tcPr>
          <w:p>
            <w:pPr>
              <w:pStyle w:val="1203"/>
              <w:jc w:val="center"/>
              <w:spacing w:before="114" w:line="236" w:lineRule="auto"/>
              <w:rPr>
                <w:rFonts w:hint="eastAsia"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≤4200</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cs="宋体"/>
                <w:sz w:val="21"/>
                <w:szCs w:val="21"/>
                <w:highlight w:val="none"/>
                <w:lang w:val="en-US" w:eastAsia="zh-CN"/>
              </w:rPr>
              <w:t xml:space="preserve">8</w:t>
            </w:r>
            <w:r/>
          </w:p>
        </w:tc>
        <w:tc>
          <w:tcPr>
            <w:tcMar>
              <w:left w:w="108" w:type="dxa"/>
              <w:top w:w="0" w:type="dxa"/>
              <w:right w:w="108" w:type="dxa"/>
              <w:bottom w:w="0" w:type="dxa"/>
            </w:tcMar>
            <w:tcW w:w="1946" w:type="pct"/>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cs="宋体"/>
                <w:sz w:val="21"/>
                <w:szCs w:val="21"/>
                <w:highlight w:val="none"/>
                <w:lang w:val="en-US" w:eastAsia="zh-CN"/>
              </w:rPr>
              <w:t xml:space="preserve">最高车速（km/h)</w:t>
            </w:r>
            <w:r/>
          </w:p>
        </w:tc>
        <w:tc>
          <w:tcPr>
            <w:tcMar>
              <w:left w:w="108" w:type="dxa"/>
              <w:top w:w="0" w:type="dxa"/>
              <w:right w:w="108" w:type="dxa"/>
              <w:bottom w:w="0" w:type="dxa"/>
            </w:tcMar>
            <w:tcW w:w="1889" w:type="pct"/>
            <w:vAlign w:val="top"/>
            <w:textDirection w:val="lrTb"/>
            <w:noWrap w:val="false"/>
          </w:tcPr>
          <w:p>
            <w:pPr>
              <w:pStyle w:val="1203"/>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70</w:t>
            </w:r>
            <w:r/>
          </w:p>
        </w:tc>
      </w:tr>
      <w:tr>
        <w:trPr>
          <w:cantSplit/>
          <w:trHeight w:val="551"/>
        </w:trPr>
        <w:tc>
          <w:tcPr>
            <w:tcMar>
              <w:left w:w="108" w:type="dxa"/>
              <w:top w:w="0" w:type="dxa"/>
              <w:right w:w="108" w:type="dxa"/>
              <w:bottom w:w="0" w:type="dxa"/>
            </w:tcMar>
            <w:tcW w:w="553" w:type="pct"/>
            <w:vAlign w:val="center"/>
            <w:vMerge w:val="restart"/>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t xml:space="preserve">电动</w:t>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t xml:space="preserve">部分</w:t>
            </w:r>
            <w:r/>
          </w:p>
        </w:tc>
        <w:tc>
          <w:tcPr>
            <w:tcMar>
              <w:left w:w="108" w:type="dxa"/>
              <w:top w:w="0" w:type="dxa"/>
              <w:right w:w="108" w:type="dxa"/>
              <w:bottom w:w="0" w:type="dxa"/>
            </w:tcMar>
            <w:tcW w:w="610" w:type="pct"/>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eastAsia="宋体" w:cs="宋体"/>
                <w:sz w:val="21"/>
                <w:szCs w:val="21"/>
                <w:highlight w:val="none"/>
                <w:lang w:val="en-US" w:eastAsia="zh-CN"/>
              </w:rPr>
              <w:t xml:space="preserve">1</w:t>
            </w:r>
            <w:r/>
          </w:p>
        </w:tc>
        <w:tc>
          <w:tcPr>
            <w:tcMar>
              <w:left w:w="108" w:type="dxa"/>
              <w:top w:w="0" w:type="dxa"/>
              <w:right w:w="108" w:type="dxa"/>
              <w:bottom w:w="0" w:type="dxa"/>
            </w:tcMar>
            <w:tcW w:w="1946" w:type="pct"/>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动力电池类型</w:t>
            </w:r>
            <w:r/>
          </w:p>
        </w:tc>
        <w:tc>
          <w:tcPr>
            <w:tcMar>
              <w:left w:w="108" w:type="dxa"/>
              <w:top w:w="0" w:type="dxa"/>
              <w:right w:w="108" w:type="dxa"/>
              <w:bottom w:w="0" w:type="dxa"/>
            </w:tcMar>
            <w:tcW w:w="1889" w:type="pct"/>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磷酸铁锂</w:t>
            </w:r>
            <w:r>
              <w:rPr>
                <w:rFonts w:hint="eastAsia" w:cs="宋体"/>
                <w:sz w:val="21"/>
                <w:szCs w:val="21"/>
                <w:highlight w:val="none"/>
                <w:lang w:eastAsia="zh-CN"/>
              </w:rPr>
              <w:t xml:space="preserve">（</w:t>
            </w:r>
            <w:r>
              <w:rPr>
                <w:rFonts w:hint="eastAsia" w:cs="宋体"/>
                <w:sz w:val="21"/>
                <w:szCs w:val="21"/>
                <w:highlight w:val="none"/>
                <w:lang w:val="en-US" w:eastAsia="zh-CN"/>
              </w:rPr>
              <w:t xml:space="preserve">或优于其性能）</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eastAsia="宋体" w:cs="宋体"/>
                <w:sz w:val="21"/>
                <w:szCs w:val="21"/>
                <w:highlight w:val="none"/>
                <w:lang w:val="en-US" w:eastAsia="zh-CN"/>
              </w:rPr>
              <w:t xml:space="preserve">★2</w:t>
            </w:r>
            <w:r/>
          </w:p>
        </w:tc>
        <w:tc>
          <w:tcPr>
            <w:tcMar>
              <w:left w:w="108" w:type="dxa"/>
              <w:top w:w="0" w:type="dxa"/>
              <w:right w:w="108" w:type="dxa"/>
              <w:bottom w:w="0" w:type="dxa"/>
            </w:tcMar>
            <w:tcW w:w="1946" w:type="pct"/>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电池电量(kWh)</w:t>
            </w:r>
            <w:r/>
          </w:p>
        </w:tc>
        <w:tc>
          <w:tcPr>
            <w:tcMar>
              <w:left w:w="108" w:type="dxa"/>
              <w:top w:w="0" w:type="dxa"/>
              <w:right w:w="108" w:type="dxa"/>
              <w:bottom w:w="0" w:type="dxa"/>
            </w:tcMar>
            <w:tcW w:w="1889" w:type="pct"/>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≥140</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eastAsia="宋体" w:cs="宋体"/>
                <w:sz w:val="21"/>
                <w:szCs w:val="21"/>
                <w:highlight w:val="none"/>
                <w:lang w:val="en-US" w:eastAsia="zh-CN"/>
              </w:rPr>
              <w:t xml:space="preserve">★</w:t>
            </w:r>
            <w:r>
              <w:rPr>
                <w:rFonts w:hint="eastAsia" w:cs="宋体"/>
                <w:sz w:val="21"/>
                <w:szCs w:val="21"/>
                <w:highlight w:val="none"/>
                <w:lang w:val="en-US" w:eastAsia="zh-CN"/>
              </w:rPr>
              <w:t xml:space="preserve">3</w:t>
            </w:r>
            <w:r/>
          </w:p>
        </w:tc>
        <w:tc>
          <w:tcPr>
            <w:tcMar>
              <w:left w:w="108" w:type="dxa"/>
              <w:top w:w="0" w:type="dxa"/>
              <w:right w:w="108" w:type="dxa"/>
              <w:bottom w:w="0" w:type="dxa"/>
            </w:tcMar>
            <w:tcW w:w="1946" w:type="pct"/>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cs="宋体"/>
                <w:sz w:val="21"/>
                <w:szCs w:val="21"/>
                <w:highlight w:val="none"/>
                <w:lang w:val="en-US" w:eastAsia="zh-CN"/>
              </w:rPr>
              <w:t xml:space="preserve">驱动</w:t>
            </w:r>
            <w:r>
              <w:rPr>
                <w:rFonts w:hint="eastAsia" w:ascii="宋体" w:hAnsi="宋体" w:eastAsia="宋体" w:cs="宋体"/>
                <w:sz w:val="21"/>
                <w:szCs w:val="21"/>
                <w:highlight w:val="none"/>
              </w:rPr>
              <w:t xml:space="preserve">电机峰值功率(kW)</w:t>
            </w:r>
            <w:r/>
          </w:p>
        </w:tc>
        <w:tc>
          <w:tcPr>
            <w:tcMar>
              <w:left w:w="108" w:type="dxa"/>
              <w:top w:w="0" w:type="dxa"/>
              <w:right w:w="108" w:type="dxa"/>
              <w:bottom w:w="0" w:type="dxa"/>
            </w:tcMar>
            <w:tcW w:w="1889" w:type="pct"/>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≥185</w:t>
            </w:r>
            <w:r/>
          </w:p>
        </w:tc>
      </w:tr>
      <w:tr>
        <w:trPr>
          <w:cantSplit/>
          <w:trHeight w:val="551"/>
        </w:trPr>
        <w:tc>
          <w:tcPr>
            <w:tcMar>
              <w:left w:w="108" w:type="dxa"/>
              <w:top w:w="0" w:type="dxa"/>
              <w:right w:w="108" w:type="dxa"/>
              <w:bottom w:w="0" w:type="dxa"/>
            </w:tcMar>
            <w:tcW w:w="553" w:type="pct"/>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610" w:type="pct"/>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cs="宋体"/>
                <w:bCs/>
                <w:szCs w:val="21"/>
                <w:highlight w:val="none"/>
              </w:rPr>
              <w:t xml:space="preserve">▲</w:t>
            </w:r>
            <w:r>
              <w:rPr>
                <w:rFonts w:hint="eastAsia" w:cs="宋体"/>
                <w:sz w:val="21"/>
                <w:szCs w:val="21"/>
                <w:highlight w:val="none"/>
                <w:lang w:val="en-US" w:eastAsia="zh-CN"/>
              </w:rPr>
              <w:t xml:space="preserve">4</w:t>
            </w:r>
            <w:r/>
          </w:p>
        </w:tc>
        <w:tc>
          <w:tcPr>
            <w:tcMar>
              <w:left w:w="108" w:type="dxa"/>
              <w:top w:w="0" w:type="dxa"/>
              <w:right w:w="108" w:type="dxa"/>
              <w:bottom w:w="0" w:type="dxa"/>
            </w:tcMar>
            <w:tcW w:w="1946" w:type="pct"/>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cs="宋体"/>
                <w:sz w:val="21"/>
                <w:szCs w:val="21"/>
                <w:highlight w:val="none"/>
                <w:lang w:val="en-US" w:eastAsia="zh-CN"/>
              </w:rPr>
              <w:t xml:space="preserve">续航里程（Km)</w:t>
            </w:r>
            <w:r/>
          </w:p>
        </w:tc>
        <w:tc>
          <w:tcPr>
            <w:tcMar>
              <w:left w:w="108" w:type="dxa"/>
              <w:top w:w="0" w:type="dxa"/>
              <w:right w:w="108" w:type="dxa"/>
              <w:bottom w:w="0" w:type="dxa"/>
            </w:tcMar>
            <w:tcW w:w="1889" w:type="pct"/>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260</w:t>
            </w:r>
            <w:r/>
          </w:p>
        </w:tc>
      </w:tr>
      <w:tr>
        <w:trPr>
          <w:cantSplit/>
          <w:trHeight w:val="551"/>
        </w:trPr>
        <w:tc>
          <w:tcPr>
            <w:tcMar>
              <w:left w:w="108" w:type="dxa"/>
              <w:top w:w="0" w:type="dxa"/>
              <w:right w:w="108" w:type="dxa"/>
              <w:bottom w:w="0" w:type="dxa"/>
            </w:tcMar>
            <w:tcW w:w="1043" w:type="dxa"/>
            <w:vAlign w:val="center"/>
            <w:vMerge w:val="restart"/>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lang w:val="en-US" w:eastAsia="zh-CN"/>
              </w:rPr>
              <w:outlineLvl w:val="1"/>
            </w:pPr>
            <w:r>
              <w:rPr>
                <w:rFonts w:hint="eastAsia" w:ascii="宋体" w:hAnsi="宋体" w:eastAsia="宋体" w:cs="宋体"/>
                <w:b w:val="0"/>
                <w:bCs/>
                <w:sz w:val="21"/>
                <w:szCs w:val="21"/>
                <w:highlight w:val="none"/>
                <w:vertAlign w:val="baseline"/>
                <w:lang w:val="en-US" w:eastAsia="zh-CN"/>
              </w:rPr>
            </w:r>
            <w:r/>
          </w:p>
          <w:p>
            <w:pPr>
              <w:jc w:val="center"/>
              <w:keepLines/>
              <w:keepNext/>
              <w:pageBreakBefore w:val="0"/>
              <w:spacing w:line="360" w:lineRule="auto"/>
              <w:rPr>
                <w:rFonts w:hint="eastAsia" w:ascii="宋体" w:hAnsi="宋体" w:eastAsia="宋体" w:cs="宋体"/>
                <w:b w:val="0"/>
                <w:bCs/>
                <w:sz w:val="21"/>
                <w:szCs w:val="21"/>
                <w:highlight w:val="none"/>
                <w:vertAlign w:val="baseline"/>
                <w:lang w:val="en-US" w:eastAsia="zh-CN"/>
              </w:rPr>
              <w:outlineLvl w:val="1"/>
            </w:pPr>
            <w:r>
              <w:rPr>
                <w:rFonts w:hint="eastAsia" w:ascii="宋体" w:hAnsi="宋体" w:eastAsia="宋体" w:cs="宋体"/>
                <w:b w:val="0"/>
                <w:bCs/>
                <w:sz w:val="21"/>
                <w:szCs w:val="21"/>
                <w:highlight w:val="none"/>
                <w:vertAlign w:val="baseline"/>
                <w:lang w:val="en-US" w:eastAsia="zh-CN"/>
              </w:rPr>
              <w:t xml:space="preserve">专用 </w:t>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lang w:val="en-US" w:eastAsia="zh-CN"/>
              </w:rPr>
              <w:t xml:space="preserve">部分</w:t>
            </w:r>
            <w:r/>
          </w:p>
        </w:tc>
        <w:tc>
          <w:tcPr>
            <w:tcMar>
              <w:left w:w="108" w:type="dxa"/>
              <w:top w:w="0" w:type="dxa"/>
              <w:right w:w="108" w:type="dxa"/>
              <w:bottom w:w="0" w:type="dxa"/>
            </w:tcMar>
            <w:tcW w:w="1151" w:type="dxa"/>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eastAsia="宋体" w:cs="宋体"/>
                <w:sz w:val="21"/>
                <w:szCs w:val="21"/>
                <w:highlight w:val="none"/>
                <w:lang w:val="en-US" w:eastAsia="zh-CN"/>
              </w:rPr>
              <w:t xml:space="preserve">1</w:t>
            </w:r>
            <w:r/>
          </w:p>
        </w:tc>
        <w:tc>
          <w:tcPr>
            <w:tcMar>
              <w:left w:w="108" w:type="dxa"/>
              <w:top w:w="0" w:type="dxa"/>
              <w:right w:w="108" w:type="dxa"/>
              <w:bottom w:w="0" w:type="dxa"/>
            </w:tcMar>
            <w:tcW w:w="3671" w:type="dxa"/>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最大洗扫宽度(m)</w:t>
            </w:r>
            <w:r/>
          </w:p>
        </w:tc>
        <w:tc>
          <w:tcPr>
            <w:tcMar>
              <w:left w:w="108" w:type="dxa"/>
              <w:top w:w="0" w:type="dxa"/>
              <w:right w:w="108" w:type="dxa"/>
              <w:bottom w:w="0" w:type="dxa"/>
            </w:tcMar>
            <w:tcW w:w="3564" w:type="dxa"/>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≥3</w:t>
            </w:r>
            <w:r>
              <w:rPr>
                <w:rFonts w:hint="eastAsia" w:cs="宋体"/>
                <w:sz w:val="21"/>
                <w:szCs w:val="21"/>
                <w:highlight w:val="none"/>
                <w:lang w:val="en-US" w:eastAsia="zh-CN"/>
              </w:rPr>
              <w:t xml:space="preserve">.25</w:t>
            </w:r>
            <w:r/>
          </w:p>
        </w:tc>
      </w:tr>
      <w:tr>
        <w:trPr>
          <w:cantSplit/>
          <w:trHeight w:val="551"/>
        </w:trPr>
        <w:tc>
          <w:tcPr>
            <w:tcMar>
              <w:left w:w="108" w:type="dxa"/>
              <w:top w:w="0" w:type="dxa"/>
              <w:right w:w="108" w:type="dxa"/>
              <w:bottom w:w="0" w:type="dxa"/>
            </w:tcMar>
            <w:tcW w:w="1043" w:type="dxa"/>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1151" w:type="dxa"/>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eastAsia="宋体" w:cs="宋体"/>
                <w:sz w:val="21"/>
                <w:szCs w:val="21"/>
                <w:highlight w:val="none"/>
                <w:lang w:val="en-US" w:eastAsia="zh-CN"/>
              </w:rPr>
              <w:t xml:space="preserve">2</w:t>
            </w:r>
            <w:r/>
          </w:p>
        </w:tc>
        <w:tc>
          <w:tcPr>
            <w:tcMar>
              <w:left w:w="108" w:type="dxa"/>
              <w:top w:w="0" w:type="dxa"/>
              <w:right w:w="108" w:type="dxa"/>
              <w:bottom w:w="0" w:type="dxa"/>
            </w:tcMar>
            <w:tcW w:w="3671" w:type="dxa"/>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清水箱容积(m³)</w:t>
            </w:r>
            <w:r/>
          </w:p>
        </w:tc>
        <w:tc>
          <w:tcPr>
            <w:tcMar>
              <w:left w:w="108" w:type="dxa"/>
              <w:top w:w="0" w:type="dxa"/>
              <w:right w:w="108" w:type="dxa"/>
              <w:bottom w:w="0" w:type="dxa"/>
            </w:tcMar>
            <w:tcW w:w="3564" w:type="dxa"/>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6</w:t>
            </w:r>
            <w:r/>
          </w:p>
        </w:tc>
      </w:tr>
      <w:tr>
        <w:trPr>
          <w:cantSplit/>
          <w:trHeight w:val="551"/>
        </w:trPr>
        <w:tc>
          <w:tcPr>
            <w:tcMar>
              <w:left w:w="108" w:type="dxa"/>
              <w:top w:w="0" w:type="dxa"/>
              <w:right w:w="108" w:type="dxa"/>
              <w:bottom w:w="0" w:type="dxa"/>
            </w:tcMar>
            <w:tcW w:w="1043" w:type="dxa"/>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1151" w:type="dxa"/>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eastAsia="宋体" w:cs="宋体"/>
                <w:sz w:val="21"/>
                <w:szCs w:val="21"/>
                <w:highlight w:val="none"/>
                <w:lang w:val="en-US" w:eastAsia="zh-CN"/>
              </w:rPr>
              <w:t xml:space="preserve">3</w:t>
            </w:r>
            <w:r/>
          </w:p>
        </w:tc>
        <w:tc>
          <w:tcPr>
            <w:tcMar>
              <w:left w:w="108" w:type="dxa"/>
              <w:top w:w="0" w:type="dxa"/>
              <w:right w:w="108" w:type="dxa"/>
              <w:bottom w:w="0" w:type="dxa"/>
            </w:tcMar>
            <w:tcW w:w="3671" w:type="dxa"/>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垃圾箱总容积(m³)</w:t>
            </w:r>
            <w:r/>
          </w:p>
        </w:tc>
        <w:tc>
          <w:tcPr>
            <w:tcMar>
              <w:left w:w="108" w:type="dxa"/>
              <w:top w:w="0" w:type="dxa"/>
              <w:right w:w="108" w:type="dxa"/>
              <w:bottom w:w="0" w:type="dxa"/>
            </w:tcMar>
            <w:tcW w:w="3564" w:type="dxa"/>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4.5</w:t>
            </w:r>
            <w:r/>
          </w:p>
        </w:tc>
      </w:tr>
      <w:tr>
        <w:trPr>
          <w:cantSplit/>
          <w:trHeight w:val="551"/>
        </w:trPr>
        <w:tc>
          <w:tcPr>
            <w:tcMar>
              <w:left w:w="108" w:type="dxa"/>
              <w:top w:w="0" w:type="dxa"/>
              <w:right w:w="108" w:type="dxa"/>
              <w:bottom w:w="0" w:type="dxa"/>
            </w:tcMar>
            <w:tcW w:w="1043" w:type="dxa"/>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1151" w:type="dxa"/>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cs="宋体"/>
                <w:sz w:val="21"/>
                <w:szCs w:val="21"/>
                <w:highlight w:val="none"/>
                <w:lang w:val="en-US" w:eastAsia="zh-CN"/>
              </w:rPr>
              <w:t xml:space="preserve">4</w:t>
            </w:r>
            <w:r/>
          </w:p>
        </w:tc>
        <w:tc>
          <w:tcPr>
            <w:tcMar>
              <w:left w:w="108" w:type="dxa"/>
              <w:top w:w="0" w:type="dxa"/>
              <w:right w:w="108" w:type="dxa"/>
              <w:bottom w:w="0" w:type="dxa"/>
            </w:tcMar>
            <w:tcW w:w="3671" w:type="dxa"/>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高压</w:t>
            </w:r>
            <w:r>
              <w:rPr>
                <w:rFonts w:hint="eastAsia" w:ascii="宋体" w:hAnsi="宋体" w:eastAsia="宋体" w:cs="宋体"/>
                <w:sz w:val="21"/>
                <w:szCs w:val="21"/>
                <w:highlight w:val="none"/>
                <w:lang w:val="en-US" w:eastAsia="zh-CN"/>
              </w:rPr>
              <w:t xml:space="preserve">水泵压力(Mpa)</w:t>
            </w:r>
            <w:r/>
          </w:p>
        </w:tc>
        <w:tc>
          <w:tcPr>
            <w:tcMar>
              <w:left w:w="108" w:type="dxa"/>
              <w:top w:w="0" w:type="dxa"/>
              <w:right w:w="108" w:type="dxa"/>
              <w:bottom w:w="0" w:type="dxa"/>
            </w:tcMar>
            <w:tcW w:w="3564" w:type="dxa"/>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12</w:t>
            </w:r>
            <w:r/>
          </w:p>
        </w:tc>
      </w:tr>
      <w:tr>
        <w:trPr>
          <w:cantSplit/>
          <w:trHeight w:val="551"/>
        </w:trPr>
        <w:tc>
          <w:tcPr>
            <w:tcMar>
              <w:left w:w="108" w:type="dxa"/>
              <w:top w:w="0" w:type="dxa"/>
              <w:right w:w="108" w:type="dxa"/>
              <w:bottom w:w="0" w:type="dxa"/>
            </w:tcMar>
            <w:tcW w:w="1043" w:type="dxa"/>
            <w:vAlign w:val="top"/>
            <w:vMerge w:val="continue"/>
            <w:textDirection w:val="lrTb"/>
            <w:noWrap w:val="false"/>
          </w:tcPr>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rFonts w:hint="eastAsia" w:ascii="宋体" w:hAnsi="宋体" w:eastAsia="宋体" w:cs="宋体"/>
                <w:b w:val="0"/>
                <w:bCs/>
                <w:sz w:val="21"/>
                <w:szCs w:val="21"/>
                <w:highlight w:val="none"/>
                <w:vertAlign w:val="baseline"/>
              </w:rPr>
            </w:r>
            <w:r/>
          </w:p>
        </w:tc>
        <w:tc>
          <w:tcPr>
            <w:tcMar>
              <w:left w:w="108" w:type="dxa"/>
              <w:top w:w="0" w:type="dxa"/>
              <w:right w:w="108" w:type="dxa"/>
              <w:bottom w:w="0" w:type="dxa"/>
            </w:tcMar>
            <w:tcW w:w="1151" w:type="dxa"/>
            <w:vAlign w:val="top"/>
            <w:textDirection w:val="lrTb"/>
            <w:noWrap w:val="false"/>
          </w:tcPr>
          <w:p>
            <w:pPr>
              <w:pStyle w:val="1203"/>
              <w:ind w:left="32"/>
              <w:jc w:val="center"/>
              <w:spacing w:before="117"/>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p>
        </w:tc>
        <w:tc>
          <w:tcPr>
            <w:tcMar>
              <w:left w:w="108" w:type="dxa"/>
              <w:top w:w="0" w:type="dxa"/>
              <w:right w:w="108" w:type="dxa"/>
              <w:bottom w:w="0" w:type="dxa"/>
            </w:tcMar>
            <w:tcW w:w="3671" w:type="dxa"/>
            <w:vAlign w:val="top"/>
            <w:textDirection w:val="lrTb"/>
            <w:noWrap w:val="false"/>
          </w:tcPr>
          <w:p>
            <w:pPr>
              <w:pStyle w:val="1203"/>
              <w:ind w:left="32"/>
              <w:jc w:val="center"/>
              <w:spacing w:before="117"/>
              <w:rPr>
                <w:rFonts w:hint="eastAsia" w:ascii="宋体" w:hAnsi="宋体" w:eastAsia="宋体" w:cs="宋体"/>
                <w:spacing w:val="8"/>
                <w:sz w:val="21"/>
                <w:szCs w:val="21"/>
                <w:highlight w:val="none"/>
              </w:rPr>
            </w:pPr>
            <w:r>
              <w:rPr>
                <w:rFonts w:hint="eastAsia" w:ascii="宋体" w:hAnsi="宋体" w:eastAsia="宋体" w:cs="宋体"/>
                <w:sz w:val="21"/>
                <w:szCs w:val="21"/>
                <w:highlight w:val="none"/>
                <w:lang w:val="en-US" w:eastAsia="zh-CN"/>
              </w:rPr>
              <w:t xml:space="preserve">连续作业时间</w:t>
            </w:r>
            <w:r/>
          </w:p>
        </w:tc>
        <w:tc>
          <w:tcPr>
            <w:tcMar>
              <w:left w:w="108" w:type="dxa"/>
              <w:top w:w="0" w:type="dxa"/>
              <w:right w:w="108" w:type="dxa"/>
              <w:bottom w:w="0" w:type="dxa"/>
            </w:tcMar>
            <w:tcW w:w="3564" w:type="dxa"/>
            <w:vAlign w:val="top"/>
            <w:textDirection w:val="lrTb"/>
            <w:noWrap w:val="false"/>
          </w:tcPr>
          <w:p>
            <w:pPr>
              <w:pStyle w:val="1203"/>
              <w:ind w:left="32"/>
              <w:jc w:val="center"/>
              <w:spacing w:before="117"/>
              <w:rPr>
                <w:rFonts w:hint="eastAsia" w:ascii="宋体" w:hAnsi="宋体" w:eastAsia="宋体" w:cs="宋体"/>
                <w:spacing w:val="-5"/>
                <w:sz w:val="21"/>
                <w:szCs w:val="21"/>
                <w:highlight w:val="none"/>
              </w:rPr>
            </w:pPr>
            <w:r>
              <w:rPr>
                <w:rFonts w:hint="eastAsia" w:ascii="宋体" w:hAnsi="宋体" w:eastAsia="宋体" w:cs="宋体"/>
                <w:sz w:val="21"/>
                <w:szCs w:val="21"/>
                <w:highlight w:val="none"/>
              </w:rPr>
              <w:t xml:space="preserve">≥</w:t>
            </w:r>
            <w:r>
              <w:rPr>
                <w:rFonts w:hint="eastAsia" w:cs="宋体"/>
                <w:sz w:val="21"/>
                <w:szCs w:val="21"/>
                <w:highlight w:val="none"/>
                <w:lang w:val="en-US" w:eastAsia="zh-CN"/>
              </w:rPr>
              <w:t xml:space="preserve">6h</w:t>
            </w:r>
            <w:r/>
          </w:p>
        </w:tc>
      </w:tr>
    </w:tbl>
    <w:p>
      <w:pPr>
        <w:jc w:val="center"/>
        <w:keepLines/>
        <w:keepNext/>
        <w:pageBreakBefore w:val="0"/>
        <w:spacing w:line="360" w:lineRule="auto"/>
        <w:rPr>
          <w:rFonts w:hint="eastAsia" w:ascii="宋体" w:hAnsi="宋体" w:eastAsia="宋体" w:cs="宋体"/>
          <w:b w:val="0"/>
          <w:bCs/>
          <w:sz w:val="21"/>
          <w:szCs w:val="21"/>
          <w:highlight w:val="none"/>
          <w:vertAlign w:val="baseline"/>
        </w:rPr>
        <w:sectPr>
          <w:footnotePr/>
          <w:endnotePr/>
          <w:type w:val="continuous"/>
          <w:pgSz w:w="11907" w:h="16840" w:orient="portrait"/>
          <w:pgMar w:top="1134" w:right="1134" w:bottom="1134" w:left="1560" w:header="851" w:footer="851" w:gutter="0"/>
          <w:cols w:num="1" w:sep="0" w:space="720" w:equalWidth="1"/>
          <w:docGrid w:linePitch="360"/>
        </w:sectPr>
        <w:outlineLvl w:val="1"/>
      </w:pPr>
      <w:r>
        <w:rPr>
          <w:rFonts w:hint="eastAsia" w:ascii="宋体" w:hAnsi="宋体" w:eastAsia="宋体" w:cs="宋体"/>
          <w:b w:val="0"/>
          <w:bCs/>
          <w:sz w:val="21"/>
          <w:szCs w:val="21"/>
          <w:highlight w:val="none"/>
          <w:vertAlign w:val="baseline"/>
        </w:rPr>
      </w:r>
      <w:r/>
    </w:p>
    <w:tbl>
      <w:tblPr>
        <w:tblStyle w:val="11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8403"/>
      </w:tblGrid>
      <w:tr>
        <w:trPr>
          <w:trHeight w:val="23"/>
        </w:trPr>
        <w:tc>
          <w:tcPr>
            <w:tcMar>
              <w:left w:w="108" w:type="dxa"/>
              <w:top w:w="0" w:type="dxa"/>
              <w:right w:w="108" w:type="dxa"/>
              <w:bottom w:w="0" w:type="dxa"/>
            </w:tcMar>
            <w:tcW w:w="544" w:type="pct"/>
            <w:vAlign w:val="top"/>
            <w:textDirection w:val="lrTb"/>
            <w:noWrap w:val="false"/>
          </w:tcPr>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highlight w:val="none"/>
              </w:rPr>
              <w:outlineLvl w:val="1"/>
            </w:pPr>
            <w:r>
              <w:rPr>
                <w:highlight w:val="none"/>
              </w:rPr>
            </w:r>
            <w:r/>
          </w:p>
          <w:p>
            <w:pPr>
              <w:jc w:val="center"/>
              <w:keepLines/>
              <w:keepNext/>
              <w:pageBreakBefore w:val="0"/>
              <w:spacing w:line="360" w:lineRule="auto"/>
              <w:rPr>
                <w:rFonts w:hint="eastAsia" w:ascii="宋体" w:hAnsi="宋体" w:eastAsia="宋体" w:cs="宋体"/>
                <w:b w:val="0"/>
                <w:bCs/>
                <w:sz w:val="21"/>
                <w:szCs w:val="21"/>
                <w:highlight w:val="none"/>
                <w:vertAlign w:val="baseline"/>
              </w:rPr>
              <w:outlineLvl w:val="1"/>
            </w:pPr>
            <w:r>
              <w:rPr>
                <w:highlight w:val="none"/>
              </w:rPr>
              <w:t xml:space="preserve">主  要  性  能  要  求</w:t>
            </w:r>
            <w:r/>
          </w:p>
        </w:tc>
        <w:tc>
          <w:tcPr>
            <w:tcMar>
              <w:left w:w="108" w:type="dxa"/>
              <w:top w:w="0" w:type="dxa"/>
              <w:right w:w="108" w:type="dxa"/>
              <w:bottom w:w="0" w:type="dxa"/>
            </w:tcMar>
            <w:tcW w:w="4455" w:type="pct"/>
            <w:vAlign w:val="top"/>
            <w:textDirection w:val="lrTb"/>
            <w:noWrap w:val="false"/>
          </w:tcPr>
          <w:p>
            <w:pPr>
              <w:pStyle w:val="1202"/>
              <w:jc w:val="left"/>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）驱动电机、整车控制器防护等级达到IP67</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电池防护等级达到IP68,确保整车安全</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电池质保期不少于8年。</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）底盘驾驶室内配备电动冷暖空调。</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箱体采用两段式结构设计，前段为清水箱，后段箱体集动力舱、污水箱于一体，垃圾箱可对污水、淤泥进行有效分离，随时根据垃圾箱内污水情况将污水单独排放，减少倾倒垃圾次数，有效延长洗扫车连续作业时间。</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清水箱设置低水位传感器，垃圾箱设置高水位传感器，驾驶室内有语音报警，提示水位情况，方便操作者实时了解箱体内水位状态</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垃圾箱内部设有滤网，可有效防止树叶、塑料袋等轻飘堵塞风口，无需人工进入内部清理</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6</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垃圾箱具有自动倾翻卸料功能，卸料角度</w:t>
            </w:r>
            <w:r>
              <w:rPr>
                <w:rFonts w:hint="eastAsia" w:ascii="宋体" w:hAnsi="宋体" w:cs="宋体"/>
                <w:bCs/>
                <w:szCs w:val="21"/>
                <w:highlight w:val="none"/>
                <w:lang w:val="en-US" w:eastAsia="zh-CN"/>
              </w:rPr>
              <w:t xml:space="preserve">≥</w:t>
            </w:r>
            <w:r>
              <w:rPr>
                <w:rFonts w:hint="eastAsia" w:ascii="宋体" w:hAnsi="宋体" w:cs="宋体"/>
                <w:bCs/>
                <w:szCs w:val="21"/>
                <w:highlight w:val="none"/>
              </w:rPr>
              <w:t xml:space="preserve">48°，内设高压自洁装置，可快速冲洗垃圾箱，无需人工操作就能实现垃圾箱自洁</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）吸嘴吸污宽度</w:t>
            </w:r>
            <w:r>
              <w:rPr>
                <w:rFonts w:hint="eastAsia" w:ascii="宋体" w:hAnsi="宋体" w:cs="宋体"/>
                <w:bCs/>
                <w:szCs w:val="21"/>
                <w:highlight w:val="none"/>
                <w:lang w:val="en-US" w:eastAsia="zh-CN"/>
              </w:rPr>
              <w:t xml:space="preserve">≥</w:t>
            </w:r>
            <w:r>
              <w:rPr>
                <w:rFonts w:hint="eastAsia" w:ascii="宋体" w:hAnsi="宋体" w:cs="宋体"/>
                <w:bCs/>
                <w:szCs w:val="21"/>
                <w:highlight w:val="none"/>
              </w:rPr>
              <w:t xml:space="preserve">1750mm。</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带扫</w:t>
            </w:r>
            <w:r>
              <w:rPr>
                <w:rFonts w:hint="eastAsia" w:ascii="宋体" w:hAnsi="宋体" w:cs="宋体"/>
                <w:bCs/>
                <w:szCs w:val="21"/>
                <w:highlight w:val="none"/>
              </w:rPr>
              <w:t xml:space="preserve">盘防撞避障和自动复位功能</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）高压水路系统中设有卸荷阀。卸荷阀保证在作业停止时卸荷降压，对系统起到保护作用；高压水路上装有压力表，对水压进行监控，防止水压力过高。</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10</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高压水泵进水口前设有过滤器，避免水中的杂质进入高压水泵</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11</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高压水路采用气控阀组的方式控制高压球阀开关，汽车底盘辅助贮气罐取气，环保节能，避免了使用液压油缸控制开关发生漏油后的二次污染</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（12）车辆采用“显示屏+控制器+CAN总线操作面板”的控制模式。</w:t>
            </w:r>
            <w:r>
              <w:rPr>
                <w:rFonts w:hint="eastAsia" w:ascii="宋体" w:hAnsi="宋体" w:cs="宋体"/>
                <w:bCs/>
                <w:szCs w:val="21"/>
                <w:highlight w:val="none"/>
              </w:rPr>
              <w:t xml:space="preserve">作业起动和作业停止时，吸嘴升降、扫盘收放、左右喷杆收放等作业装置全由一键控制，操作简便</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（13）</w:t>
            </w:r>
            <w:r>
              <w:rPr>
                <w:rFonts w:hint="eastAsia" w:ascii="宋体" w:hAnsi="宋体" w:cs="宋体"/>
                <w:bCs/>
                <w:szCs w:val="21"/>
                <w:highlight w:val="none"/>
              </w:rPr>
              <w:t xml:space="preserve">系统设置了全扫、左扫、右扫，全洗扫、左洗扫、右洗扫、全洗、左洗、右洗、纯吸共10种作业模式</w:t>
            </w:r>
            <w:r>
              <w:rPr>
                <w:rFonts w:hint="eastAsia" w:ascii="宋体" w:hAnsi="宋体" w:cs="宋体"/>
                <w:bCs/>
                <w:szCs w:val="21"/>
                <w:highlight w:val="none"/>
                <w:lang w:eastAsia="zh-CN"/>
              </w:rPr>
              <w:t xml:space="preserve">。</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14</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电机正常工作的工作转速由电气系统自动控制，</w:t>
            </w:r>
            <w:r>
              <w:rPr>
                <w:rFonts w:hint="eastAsia" w:ascii="宋体" w:hAnsi="宋体" w:cs="宋体"/>
                <w:bCs/>
                <w:szCs w:val="21"/>
                <w:highlight w:val="none"/>
                <w:lang w:val="en-US" w:eastAsia="zh-CN"/>
              </w:rPr>
              <w:t xml:space="preserve">不少于</w:t>
            </w:r>
            <w:r>
              <w:rPr>
                <w:rFonts w:hint="eastAsia" w:ascii="宋体" w:hAnsi="宋体" w:cs="宋体"/>
                <w:bCs/>
                <w:szCs w:val="21"/>
                <w:highlight w:val="none"/>
              </w:rPr>
              <w:t xml:space="preserve">3档</w:t>
            </w:r>
            <w:r>
              <w:rPr>
                <w:rFonts w:hint="eastAsia" w:ascii="宋体" w:hAnsi="宋体" w:cs="宋体"/>
                <w:bCs/>
                <w:szCs w:val="21"/>
                <w:highlight w:val="none"/>
                <w:lang w:val="en-US" w:eastAsia="zh-CN"/>
              </w:rPr>
              <w:t xml:space="preserve">调节</w:t>
            </w:r>
            <w:r>
              <w:rPr>
                <w:rFonts w:hint="eastAsia" w:ascii="宋体" w:hAnsi="宋体" w:cs="宋体"/>
                <w:bCs/>
                <w:szCs w:val="21"/>
                <w:highlight w:val="none"/>
              </w:rPr>
              <w:t xml:space="preserve">，并且可手动调速，每次可±50r/min。系统重启后，电机转速恢复至各档位的默认转速。</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15</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本车配备的语音报警系统能在作业和卸车时发出多种语音报警和提示信息，有“水箱水位低，不能清洗作业”、“污水箱倾翻，请注意安全”等语音提示信息，还有多条音乐提示信息和轰鸣报警信息等。</w:t>
            </w:r>
            <w:r/>
          </w:p>
          <w:p>
            <w:pPr>
              <w:pStyle w:val="1202"/>
              <w:jc w:val="left"/>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16</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带有自吹水装置，</w:t>
            </w:r>
            <w:r>
              <w:rPr>
                <w:rFonts w:hint="eastAsia" w:ascii="宋体" w:hAnsi="宋体" w:cs="宋体"/>
                <w:bCs/>
                <w:szCs w:val="21"/>
                <w:highlight w:val="none"/>
              </w:rPr>
              <w:t xml:space="preserve">在冬季作业完成后，</w:t>
            </w:r>
            <w:r>
              <w:rPr>
                <w:rFonts w:hint="eastAsia" w:ascii="宋体" w:hAnsi="宋体" w:cs="宋体"/>
                <w:bCs/>
                <w:szCs w:val="21"/>
                <w:highlight w:val="none"/>
                <w:lang w:val="en-US" w:eastAsia="zh-CN"/>
              </w:rPr>
              <w:t xml:space="preserve">可对管路进行自动吹水，确保管路冬季不会冻坏，以便下次作业。</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17</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车辆作业由三处操作装置实现，其中两处在驾驶室内</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显示屏，操作盒）</w:t>
            </w:r>
            <w:r>
              <w:rPr>
                <w:rFonts w:hint="eastAsia" w:ascii="宋体" w:hAnsi="宋体" w:cs="宋体"/>
                <w:bCs/>
                <w:szCs w:val="21"/>
                <w:highlight w:val="none"/>
              </w:rPr>
              <w:t xml:space="preserve">，一处在车辆后部右侧的操作面板。</w:t>
            </w:r>
            <w:r/>
          </w:p>
          <w:p>
            <w:pPr>
              <w:pStyle w:val="1202"/>
              <w:jc w:val="left"/>
              <w:spacing w:line="360" w:lineRule="auto"/>
              <w:rPr>
                <w:rFonts w:hint="eastAsia"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18</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洗扫车右边、后部装有摄像头，影像集成在操作显示屏上，作业时，可以在驾驶室内检查监视清洁效果。倒车时可以导航，防止追尾。左右两侧扫盘前面有工作灯。</w:t>
            </w:r>
            <w:r/>
          </w:p>
          <w:p>
            <w:pPr>
              <w:pStyle w:val="1202"/>
              <w:jc w:val="left"/>
              <w:spacing w:line="360"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sz w:val="21"/>
                <w:szCs w:val="21"/>
                <w:highlight w:val="none"/>
                <w:lang w:val="en-US" w:eastAsia="zh-CN"/>
              </w:rPr>
              <w:t xml:space="preserve">★</w:t>
            </w:r>
            <w:r>
              <w:rPr>
                <w:rFonts w:hint="default" w:ascii="宋体" w:hAnsi="宋体" w:eastAsia="宋体" w:cs="宋体"/>
                <w:b w:val="0"/>
                <w:bCs w:val="0"/>
                <w:color w:val="auto"/>
                <w:szCs w:val="21"/>
                <w:highlight w:val="none"/>
                <w:lang w:val="en-US"/>
              </w:rPr>
              <w:t xml:space="preserve">(</w:t>
            </w:r>
            <w:r>
              <w:rPr>
                <w:rFonts w:hint="eastAsia" w:ascii="宋体" w:hAnsi="宋体" w:cs="宋体"/>
                <w:b w:val="0"/>
                <w:bCs w:val="0"/>
                <w:color w:val="auto"/>
                <w:szCs w:val="21"/>
                <w:highlight w:val="none"/>
                <w:lang w:val="en-US" w:eastAsia="zh-CN"/>
              </w:rPr>
              <w:t xml:space="preserve">19</w:t>
            </w:r>
            <w:r>
              <w:rPr>
                <w:rFonts w:hint="default" w:ascii="宋体" w:hAnsi="宋体" w:eastAsia="宋体" w:cs="宋体"/>
                <w:b w:val="0"/>
                <w:bCs w:val="0"/>
                <w:color w:val="auto"/>
                <w:szCs w:val="21"/>
                <w:highlight w:val="none"/>
                <w:lang w:val="en-US"/>
              </w:rPr>
              <w:t xml:space="preserve">)车辆需配备1台120KW通用充电桩(充电桩所有权属采购单位),采购单位</w:t>
            </w:r>
            <w:r>
              <w:rPr>
                <w:rFonts w:hint="default" w:ascii="宋体" w:hAnsi="宋体" w:cs="宋体"/>
                <w:bCs/>
                <w:szCs w:val="21"/>
                <w:highlight w:val="none"/>
                <w:lang w:val="en-US"/>
              </w:rPr>
              <w:t xml:space="preserve">提供电源、场所，</w:t>
            </w:r>
            <w:r>
              <w:rPr>
                <w:rFonts w:hint="eastAsia" w:ascii="宋体" w:hAnsi="宋体" w:cs="宋体"/>
                <w:bCs/>
                <w:szCs w:val="21"/>
                <w:highlight w:val="none"/>
                <w:lang w:val="en-US" w:eastAsia="zh-CN"/>
              </w:rPr>
              <w:t xml:space="preserve">供应商</w:t>
            </w:r>
            <w:r>
              <w:rPr>
                <w:rFonts w:hint="default" w:ascii="宋体" w:hAnsi="宋体" w:cs="宋体"/>
                <w:bCs/>
                <w:szCs w:val="21"/>
                <w:highlight w:val="none"/>
                <w:lang w:val="en-US"/>
              </w:rPr>
              <w:t xml:space="preserve">负责充电桩的基础安装及调试，确保设备可正常投入使用(质保期1年)。</w:t>
            </w:r>
            <w:r/>
          </w:p>
        </w:tc>
      </w:tr>
    </w:tbl>
    <w:p>
      <w:pPr>
        <w:ind w:firstLine="632"/>
        <w:pageBreakBefore w:val="0"/>
        <w:spacing w:line="360" w:lineRule="auto"/>
        <w:widowControl w:val="off"/>
        <w:rPr>
          <w:rFonts w:hint="eastAsia" w:ascii="宋体" w:hAnsi="宋体" w:eastAsia="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注</w:t>
      </w:r>
      <w:r>
        <w:rPr>
          <w:rFonts w:hint="eastAsia" w:ascii="宋体" w:hAnsi="宋体" w:eastAsia="宋体" w:cs="宋体"/>
          <w:b/>
          <w:bCs/>
          <w:color w:val="auto"/>
          <w:szCs w:val="21"/>
          <w:highlight w:val="none"/>
          <w:u w:val="single"/>
          <w:lang w:val="en-US" w:eastAsia="zh-CN"/>
        </w:rPr>
        <w:t xml:space="preserve">：1</w:t>
      </w:r>
      <w:r>
        <w:rPr>
          <w:rFonts w:hint="eastAsia" w:ascii="宋体" w:hAnsi="宋体" w:eastAsia="宋体" w:cs="宋体"/>
          <w:b/>
          <w:bCs/>
          <w:color w:val="auto"/>
          <w:szCs w:val="21"/>
          <w:highlight w:val="none"/>
          <w:u w:val="single"/>
        </w:rPr>
        <w:t xml:space="preserve">整车外观、质量符合国家及相关部门规定</w:t>
      </w:r>
      <w:r>
        <w:rPr>
          <w:rFonts w:hint="eastAsia" w:ascii="宋体" w:hAnsi="宋体" w:eastAsia="宋体" w:cs="宋体"/>
          <w:b/>
          <w:bCs/>
          <w:color w:val="auto"/>
          <w:szCs w:val="21"/>
          <w:highlight w:val="none"/>
          <w:u w:val="single"/>
          <w:lang w:eastAsia="zh-CN"/>
        </w:rPr>
        <w:t xml:space="preserve">；</w:t>
      </w:r>
      <w:r>
        <w:rPr>
          <w:rFonts w:hint="default" w:ascii="宋体" w:hAnsi="宋体" w:eastAsia="宋体" w:cs="宋体"/>
          <w:b/>
          <w:bCs/>
          <w:color w:val="auto"/>
          <w:szCs w:val="21"/>
          <w:highlight w:val="none"/>
          <w:u w:val="single"/>
        </w:rPr>
        <w:t xml:space="preserve">确保</w:t>
      </w:r>
      <w:r>
        <w:rPr>
          <w:rFonts w:hint="eastAsia" w:ascii="宋体" w:hAnsi="宋体" w:eastAsia="宋体" w:cs="宋体"/>
          <w:b/>
          <w:bCs/>
          <w:color w:val="auto"/>
          <w:szCs w:val="21"/>
          <w:highlight w:val="none"/>
          <w:u w:val="single"/>
        </w:rPr>
        <w:t xml:space="preserve">所投车辆能上车辆牌照</w:t>
      </w:r>
      <w:r>
        <w:rPr>
          <w:rFonts w:hint="eastAsia" w:ascii="宋体" w:hAnsi="宋体" w:cs="宋体"/>
          <w:b/>
          <w:bCs/>
          <w:color w:val="auto"/>
          <w:szCs w:val="21"/>
          <w:highlight w:val="none"/>
          <w:u w:val="single"/>
          <w:lang w:eastAsia="zh-CN"/>
        </w:rPr>
        <w:t xml:space="preserve">。</w:t>
      </w:r>
      <w:r/>
    </w:p>
    <w:p>
      <w:pPr>
        <w:ind w:firstLine="422"/>
        <w:pageBreakBefore w:val="0"/>
        <w:spacing w:line="360" w:lineRule="auto"/>
        <w:widowControl w:val="off"/>
        <w:rPr>
          <w:rFonts w:hint="eastAsia" w:ascii="宋体" w:hAnsi="宋体" w:eastAsia="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2</w:t>
      </w:r>
      <w:r>
        <w:rPr>
          <w:rFonts w:hint="eastAsia" w:ascii="宋体" w:hAnsi="宋体" w:eastAsia="宋体" w:cs="宋体"/>
          <w:b/>
          <w:bCs/>
          <w:color w:val="auto"/>
          <w:szCs w:val="21"/>
          <w:highlight w:val="none"/>
          <w:u w:val="single"/>
        </w:rPr>
        <w:t xml:space="preserve">.供应商应认真阅读磋商文件中所有的事项、格式、条款和规范等要求。如果供应商没有按照磋商文件要求提交全部资料或者响应文件没有对磋商文件在各方面都作出实质性响应，是供应商的风险。供应商须对磋商文件中要求</w:t>
      </w:r>
      <w:r>
        <w:rPr>
          <w:rFonts w:hint="eastAsia" w:ascii="宋体" w:hAnsi="宋体" w:eastAsia="宋体" w:cs="宋体"/>
          <w:b/>
          <w:bCs/>
          <w:sz w:val="21"/>
          <w:szCs w:val="21"/>
          <w:highlight w:val="none"/>
          <w:u w:val="single"/>
        </w:rPr>
        <w:t xml:space="preserve">提供的资料和附件（含技术规格）逐项给予明确应答，否则，可能</w:t>
      </w:r>
      <w:r>
        <w:rPr>
          <w:rFonts w:hint="eastAsia" w:ascii="宋体" w:hAnsi="宋体" w:eastAsia="宋体" w:cs="宋体"/>
          <w:b/>
          <w:bCs/>
          <w:color w:val="auto"/>
          <w:szCs w:val="21"/>
          <w:highlight w:val="none"/>
          <w:u w:val="single"/>
          <w:lang w:val="en-US" w:eastAsia="zh-CN"/>
        </w:rPr>
        <w:t xml:space="preserve">被认为技术评价不合格。</w:t>
      </w:r>
      <w:r>
        <w:rPr>
          <w:rFonts w:hint="eastAsia" w:ascii="宋体" w:hAnsi="宋体" w:eastAsia="宋体" w:cs="宋体"/>
          <w:b/>
          <w:bCs/>
          <w:color w:val="auto"/>
          <w:szCs w:val="21"/>
          <w:highlight w:val="none"/>
          <w:u w:val="single"/>
        </w:rPr>
        <w:t xml:space="preserve">本章打“★”内容为实质性要求，不接受负偏离，否则作为无效</w:t>
      </w:r>
      <w:r>
        <w:rPr>
          <w:rFonts w:hint="eastAsia" w:ascii="宋体" w:hAnsi="宋体" w:cs="宋体"/>
          <w:b/>
          <w:bCs/>
          <w:color w:val="auto"/>
          <w:szCs w:val="21"/>
          <w:highlight w:val="none"/>
          <w:u w:val="single"/>
          <w:lang w:val="en-US" w:eastAsia="zh-CN"/>
        </w:rPr>
        <w:t xml:space="preserve">响应</w:t>
      </w:r>
      <w:r>
        <w:rPr>
          <w:rFonts w:hint="eastAsia" w:ascii="宋体" w:hAnsi="宋体" w:eastAsia="宋体" w:cs="宋体"/>
          <w:b/>
          <w:bCs/>
          <w:color w:val="auto"/>
          <w:szCs w:val="21"/>
          <w:highlight w:val="none"/>
          <w:u w:val="single"/>
        </w:rPr>
        <w:t xml:space="preserve">。</w:t>
      </w:r>
      <w:r/>
    </w:p>
    <w:p>
      <w:pPr>
        <w:ind w:firstLine="422"/>
        <w:jc w:val="left"/>
        <w:keepLines/>
        <w:keepNext/>
        <w:pageBreakBefore w:val="0"/>
        <w:spacing w:line="360" w:lineRule="auto"/>
        <w:widowControl w:val="off"/>
        <w:rPr>
          <w:rFonts w:hint="eastAsia" w:ascii="宋体" w:hAnsi="宋体" w:eastAsia="宋体" w:cs="宋体"/>
          <w:b/>
          <w:bCs/>
          <w:color w:val="auto"/>
          <w:szCs w:val="21"/>
          <w:highlight w:val="none"/>
          <w:u w:val="single"/>
          <w:lang w:val="en-US" w:eastAsia="zh-CN"/>
        </w:rPr>
        <w:outlineLvl w:val="1"/>
      </w:pPr>
      <w:r>
        <w:rPr>
          <w:rFonts w:hint="eastAsia" w:ascii="宋体" w:hAnsi="宋体" w:cs="宋体"/>
          <w:b/>
          <w:bCs/>
          <w:color w:val="auto"/>
          <w:szCs w:val="21"/>
          <w:highlight w:val="none"/>
          <w:u w:val="single"/>
          <w:lang w:val="en-US" w:eastAsia="zh-CN"/>
        </w:rPr>
        <w:t xml:space="preserve">3</w:t>
      </w:r>
      <w:r>
        <w:rPr>
          <w:rFonts w:hint="eastAsia" w:ascii="宋体" w:hAnsi="宋体" w:eastAsia="宋体" w:cs="宋体"/>
          <w:b/>
          <w:bCs/>
          <w:color w:val="auto"/>
          <w:szCs w:val="21"/>
          <w:highlight w:val="none"/>
          <w:u w:val="single"/>
          <w:lang w:val="en-US" w:eastAsia="zh-CN"/>
        </w:rPr>
        <w:t xml:space="preserve">.成交公示结束后三日内向采购人提交采购文件中要求的各项技术参数证明材料，所有证明材料需要加盖原厂商公章，不提供或提供的资料不符合要求的，采购人有权取消其成交资格。投标供应商如有提供不实评审材料，弄虚作假者，一律做废标处理，该不良行为将予以公示。</w:t>
      </w:r>
      <w:r/>
    </w:p>
    <w:p>
      <w:pPr>
        <w:ind w:firstLine="422"/>
        <w:jc w:val="left"/>
        <w:keepLines/>
        <w:keepNext/>
        <w:pageBreakBefore w:val="0"/>
        <w:spacing w:line="360" w:lineRule="auto"/>
        <w:widowControl w:val="off"/>
        <w:rPr>
          <w:b/>
          <w:bCs/>
          <w:szCs w:val="21"/>
          <w:highlight w:val="none"/>
          <w:u w:val="single"/>
        </w:rPr>
        <w:outlineLvl w:val="1"/>
      </w:pPr>
      <w:r>
        <w:rPr>
          <w:rFonts w:hint="eastAsia" w:ascii="宋体" w:hAnsi="宋体" w:cs="宋体"/>
          <w:b/>
          <w:bCs/>
          <w:color w:val="auto"/>
          <w:szCs w:val="21"/>
          <w:highlight w:val="none"/>
          <w:u w:val="single"/>
          <w:lang w:val="en-US" w:eastAsia="zh-CN"/>
        </w:rPr>
        <w:t xml:space="preserve">4</w:t>
      </w:r>
      <w:r>
        <w:rPr>
          <w:rFonts w:hint="eastAsia" w:ascii="宋体" w:hAnsi="宋体" w:eastAsia="宋体" w:cs="宋体"/>
          <w:b/>
          <w:bCs/>
          <w:color w:val="auto"/>
          <w:szCs w:val="21"/>
          <w:highlight w:val="none"/>
          <w:u w:val="single"/>
          <w:lang w:val="en-US" w:eastAsia="zh-CN"/>
        </w:rPr>
        <w:t xml:space="preserve">.供应商要充分考虑知识产权问题，由于采购人在其本国使用成交供应商设备或设备任何一部分时而引起第三方提出的侵犯专利权、商标权或工业设计权的起诉、行政程序索赔等由成交供应商承担，以及采购人为此而产生的损失和损害、费用和支出（包括律师费）均由成交供应商承担。</w:t>
      </w:r>
      <w:r/>
    </w:p>
    <w:p>
      <w:pPr>
        <w:pStyle w:val="1191"/>
        <w:numPr>
          <w:ilvl w:val="0"/>
          <w:numId w:val="0"/>
        </w:numPr>
        <w:contextualSpacing w:val="0"/>
        <w:ind w:right="238" w:firstLine="422"/>
        <w:jc w:val="both"/>
        <w:keepLines/>
        <w:keepNext/>
        <w:pageBreakBefore w:val="0"/>
        <w:spacing w:line="360" w:lineRule="auto"/>
        <w:widowControl w:val="off"/>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lang w:val="en-US" w:eastAsia="zh-CN"/>
        </w:rPr>
        <w:t xml:space="preserve">二、供货</w:t>
      </w:r>
      <w:r>
        <w:rPr>
          <w:rFonts w:hint="eastAsia" w:ascii="宋体" w:hAnsi="宋体" w:cs="宋体"/>
          <w:b/>
          <w:bCs/>
          <w:color w:val="auto"/>
          <w:sz w:val="21"/>
          <w:szCs w:val="21"/>
          <w:highlight w:val="none"/>
        </w:rPr>
        <w:t xml:space="preserve">要求</w:t>
      </w:r>
      <w:r/>
    </w:p>
    <w:p>
      <w:pPr>
        <w:ind w:firstLine="420"/>
        <w:jc w:val="left"/>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 xml:space="preserve">1.供货时间：</w:t>
      </w:r>
      <w:r>
        <w:rPr>
          <w:rFonts w:hint="eastAsia" w:ascii="宋体" w:hAnsi="宋体" w:eastAsia="宋体" w:cs="宋体"/>
          <w:color w:val="auto"/>
          <w:szCs w:val="21"/>
          <w:highlight w:val="none"/>
        </w:rPr>
        <w:t xml:space="preserve">合同签订后</w:t>
      </w:r>
      <w:r>
        <w:rPr>
          <w:rFonts w:hint="eastAsia" w:ascii="宋体" w:hAnsi="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日内交货</w:t>
      </w:r>
      <w:r>
        <w:rPr>
          <w:rFonts w:hint="eastAsia" w:ascii="宋体" w:hAnsi="宋体" w:cs="宋体"/>
          <w:color w:val="auto"/>
          <w:szCs w:val="21"/>
          <w:highlight w:val="none"/>
          <w:lang w:eastAsia="zh-CN"/>
        </w:rPr>
        <w:t xml:space="preserve">。</w:t>
      </w:r>
      <w:r/>
    </w:p>
    <w:p>
      <w:pPr>
        <w:ind w:firstLine="420"/>
        <w:pageBreakBefore w:val="0"/>
        <w:spacing w:line="360" w:lineRule="auto"/>
        <w:rPr>
          <w:rFonts w:ascii="宋体" w:hAnsi="宋体"/>
          <w:szCs w:val="21"/>
          <w:highlight w:val="none"/>
        </w:rPr>
      </w:pPr>
      <w:r/>
      <w:bookmarkStart w:id="100" w:name="_Toc38468733"/>
      <w:r>
        <w:rPr>
          <w:rFonts w:hint="eastAsia" w:ascii="宋体" w:hAnsi="宋体"/>
          <w:szCs w:val="21"/>
          <w:highlight w:val="none"/>
          <w:lang w:val="en-US" w:eastAsia="zh-CN"/>
        </w:rPr>
        <w:t xml:space="preserve">2</w:t>
      </w:r>
      <w:r>
        <w:rPr>
          <w:rFonts w:ascii="宋体" w:hAnsi="宋体"/>
          <w:szCs w:val="21"/>
          <w:highlight w:val="none"/>
        </w:rPr>
        <w:t xml:space="preserve">.</w:t>
      </w:r>
      <w:r>
        <w:rPr>
          <w:rFonts w:hint="eastAsia" w:ascii="宋体" w:hAnsi="宋体"/>
          <w:szCs w:val="21"/>
          <w:highlight w:val="none"/>
          <w:lang w:val="en-US" w:eastAsia="zh-CN"/>
        </w:rPr>
        <w:t xml:space="preserve">供货质量：</w:t>
      </w:r>
      <w:r>
        <w:rPr>
          <w:rFonts w:hint="eastAsia" w:ascii="宋体" w:hAnsi="宋体"/>
          <w:color w:val="000000"/>
          <w:szCs w:val="21"/>
          <w:highlight w:val="none"/>
        </w:rPr>
        <w:t xml:space="preserve">每台产品均要有出厂检验合格证</w:t>
      </w:r>
      <w:r>
        <w:rPr>
          <w:rFonts w:hint="eastAsia" w:ascii="宋体" w:hAnsi="宋体"/>
          <w:color w:val="000000"/>
          <w:szCs w:val="21"/>
          <w:highlight w:val="none"/>
          <w:lang w:eastAsia="zh-CN"/>
        </w:rPr>
        <w:t xml:space="preserve">，</w:t>
      </w:r>
      <w:r>
        <w:rPr>
          <w:rFonts w:ascii="宋体" w:hAnsi="宋体"/>
          <w:szCs w:val="21"/>
          <w:highlight w:val="none"/>
        </w:rPr>
        <w:t xml:space="preserve">不接受拼凑、试制、不成熟、未定型的货物或服务。</w:t>
      </w:r>
      <w:r/>
    </w:p>
    <w:p>
      <w:pPr>
        <w:ind w:firstLine="413"/>
        <w:jc w:val="left"/>
        <w:keepLines/>
        <w:keepNext/>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验收</w:t>
      </w:r>
      <w:r>
        <w:rPr>
          <w:rFonts w:hint="eastAsia" w:ascii="宋体" w:hAnsi="宋体" w:cs="宋体"/>
          <w:b/>
          <w:bCs/>
          <w:color w:val="auto"/>
          <w:szCs w:val="21"/>
          <w:highlight w:val="none"/>
        </w:rPr>
        <w:t xml:space="preserve">要求</w:t>
      </w:r>
      <w:bookmarkEnd w:id="100"/>
      <w:r/>
      <w:r/>
    </w:p>
    <w:p>
      <w:pPr>
        <w:pStyle w:val="1202"/>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供应商应提前通知采购人设备送达指定地点的时间，采购人根据相关约定进行验收；</w:t>
      </w:r>
      <w:r/>
    </w:p>
    <w:p>
      <w:pPr>
        <w:pStyle w:val="1202"/>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.验收标准：依据合同、协议、</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、承诺及约定的相关标准。</w:t>
      </w:r>
      <w:r/>
    </w:p>
    <w:p>
      <w:pPr>
        <w:pStyle w:val="1202"/>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货物的验收包括：数量、外观、质量、性能、随机备件备品、装箱单、随机资料及包装；所有设备和附（配）件应符合其规定的性能，无瑕疵和缺陷，质量为合格产品，同时有明确的生产制造厂商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供应商对质量问题负责包修、包换和包退，因此发生的费用由供应商自行承担</w:t>
      </w:r>
      <w:r>
        <w:rPr>
          <w:rFonts w:hint="eastAsia" w:ascii="宋体" w:hAnsi="宋体" w:cs="宋体"/>
          <w:szCs w:val="21"/>
          <w:highlight w:val="none"/>
          <w:lang w:eastAsia="zh-CN"/>
        </w:rPr>
        <w:t xml:space="preserve">。</w:t>
      </w:r>
      <w:r/>
    </w:p>
    <w:p>
      <w:pPr>
        <w:ind w:firstLine="413"/>
        <w:jc w:val="left"/>
        <w:keepLines/>
        <w:keepNext/>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、售后要求</w:t>
      </w:r>
      <w:r/>
    </w:p>
    <w:p>
      <w:pPr>
        <w:pStyle w:val="1202"/>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1.本次招标的设备应提供不低于二年的免费质保，供货时提供相关证明材料。质保时间自终验验收合格之日起算，免费质保期内应提供免除一切费用的售后服务。</w:t>
      </w:r>
      <w:r/>
    </w:p>
    <w:p>
      <w:pPr>
        <w:pStyle w:val="1202"/>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2.服务时间的承诺：响应时间为24小时，修复时间为2个工作日，如不能在2个工作日内修复且未能提供备用设备，</w:t>
      </w:r>
      <w:r>
        <w:rPr>
          <w:rFonts w:hint="eastAsia" w:ascii="宋体" w:hAnsi="宋体" w:cs="宋体"/>
          <w:szCs w:val="21"/>
          <w:highlight w:val="none"/>
          <w:lang w:val="en-US" w:eastAsia="zh-CN"/>
        </w:rPr>
        <w:t xml:space="preserve">一次性扣除合同款项的5%。</w:t>
      </w:r>
      <w:r/>
    </w:p>
    <w:p>
      <w:pPr>
        <w:pStyle w:val="120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如设备在免费质保期内发生质量问题，</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应在接到采购人报修电话后24小时内予以响应，否则采购人将自行采取必要的措施，由此产生风险和费用应由投标人承担。</w:t>
      </w:r>
      <w:r/>
    </w:p>
    <w:p>
      <w:pPr>
        <w:pStyle w:val="120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对于在免费质保期内出现故障确需更换的零配件，</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应尽量确保采购单位能更换到原厂同种规格型号的零部件，以确保其正常使用；如因生产厂家停产等客观原因，不</w:t>
      </w:r>
      <w:r>
        <w:rPr>
          <w:rFonts w:hint="eastAsia" w:ascii="宋体" w:hAnsi="宋体" w:eastAsia="宋体" w:cs="宋体"/>
          <w:szCs w:val="21"/>
          <w:highlight w:val="none"/>
          <w:lang w:val="en-US" w:eastAsia="zh-CN"/>
        </w:rPr>
        <w:t xml:space="preserve">能</w:t>
      </w:r>
      <w:r>
        <w:rPr>
          <w:rFonts w:hint="eastAsia" w:ascii="宋体" w:hAnsi="宋体" w:eastAsia="宋体" w:cs="宋体"/>
          <w:szCs w:val="21"/>
          <w:highlight w:val="none"/>
        </w:rPr>
        <w:t xml:space="preserve">提供同种规格型号的零配件时，应提供同等质量、档次的配件，且不补差价。</w:t>
      </w:r>
      <w:r/>
    </w:p>
    <w:p>
      <w:pPr>
        <w:pStyle w:val="1202"/>
        <w:jc w:val="left"/>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5.供应商应</w:t>
      </w:r>
      <w:r>
        <w:rPr>
          <w:rFonts w:hint="eastAsia" w:ascii="宋体" w:hAnsi="宋体" w:cs="宋体"/>
          <w:szCs w:val="21"/>
          <w:highlight w:val="none"/>
          <w:lang w:val="en-US" w:eastAsia="zh-CN"/>
        </w:rPr>
        <w:t xml:space="preserve">在产品初验合格后一个月内</w:t>
      </w:r>
      <w:r>
        <w:rPr>
          <w:rFonts w:hint="eastAsia" w:ascii="宋体" w:hAnsi="宋体" w:eastAsia="宋体" w:cs="宋体"/>
          <w:b w:val="0"/>
          <w:bCs/>
          <w:sz w:val="21"/>
          <w:szCs w:val="21"/>
          <w:highlight w:val="none"/>
          <w:u w:val="none"/>
          <w:lang w:val="en-US" w:eastAsia="zh-CN"/>
        </w:rPr>
        <w:t xml:space="preserve">提供使用指导和培训服务。</w:t>
      </w:r>
      <w:r/>
    </w:p>
    <w:p>
      <w:pPr>
        <w:ind w:firstLine="560"/>
        <w:jc w:val="left"/>
        <w:pageBreakBefore w:val="0"/>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其他</w:t>
      </w:r>
      <w:r>
        <w:rPr>
          <w:rFonts w:hint="eastAsia" w:ascii="宋体" w:hAnsi="宋体" w:cs="宋体"/>
          <w:b/>
          <w:color w:val="auto"/>
          <w:szCs w:val="21"/>
          <w:highlight w:val="none"/>
        </w:rPr>
        <w:t xml:space="preserve">商务</w:t>
      </w:r>
      <w:r>
        <w:rPr>
          <w:rFonts w:hint="eastAsia" w:ascii="宋体" w:hAnsi="宋体" w:cs="宋体"/>
          <w:b/>
          <w:color w:val="auto"/>
          <w:szCs w:val="21"/>
          <w:highlight w:val="none"/>
          <w:lang w:val="en-US" w:eastAsia="zh-CN"/>
        </w:rPr>
        <w:t xml:space="preserve">要求</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1.交货</w:t>
      </w:r>
      <w:r>
        <w:rPr>
          <w:rFonts w:hint="eastAsia" w:ascii="宋体" w:hAnsi="宋体" w:cs="宋体"/>
          <w:color w:val="auto"/>
          <w:szCs w:val="21"/>
          <w:highlight w:val="none"/>
        </w:rPr>
        <w:t xml:space="preserve">地点:由采购人指定。</w:t>
      </w:r>
      <w:r/>
    </w:p>
    <w:p>
      <w:pPr>
        <w:ind w:firstLine="420"/>
        <w:pageBreakBefore w:val="0"/>
        <w:spacing w:line="360" w:lineRule="auto"/>
        <w:rPr>
          <w:rFonts w:hint="eastAsia" w:ascii="宋体" w:hAnsi="宋体" w:cs="宋体"/>
          <w:color w:val="auto"/>
          <w:szCs w:val="21"/>
          <w:highlight w:val="none"/>
          <w:lang w:val="en-US" w:eastAsia="zh-CN"/>
        </w:rPr>
        <w:sectPr>
          <w:footnotePr/>
          <w:endnotePr/>
          <w:type w:val="continuous"/>
          <w:pgSz w:w="11907" w:h="16840" w:orient="portrait"/>
          <w:pgMar w:top="1134" w:right="1134" w:bottom="1134" w:left="1560" w:header="851" w:footer="851" w:gutter="0"/>
          <w:cols w:num="1" w:sep="0" w:space="720" w:equalWidth="1"/>
          <w:docGrid w:linePitch="360"/>
        </w:sectPr>
      </w:pPr>
      <w:r>
        <w:rPr>
          <w:rFonts w:hint="eastAsia" w:ascii="宋体" w:hAnsi="宋体" w:cs="宋体"/>
          <w:color w:val="auto"/>
          <w:szCs w:val="21"/>
          <w:highlight w:val="none"/>
          <w:lang w:val="en-US" w:eastAsia="zh-CN"/>
        </w:rPr>
        <w:t xml:space="preserve">2.款项支付：</w:t>
      </w:r>
      <w:bookmarkEnd w:id="88"/>
      <w:r/>
      <w:bookmarkEnd w:id="89"/>
      <w:r/>
      <w:bookmarkStart w:id="101" w:name="_Toc86268903"/>
      <w:r/>
      <w:bookmarkStart w:id="102" w:name="_Toc23828480"/>
      <w:r/>
      <w:bookmarkStart w:id="103" w:name="_Toc26554097"/>
      <w:r/>
      <w:bookmarkStart w:id="104" w:name="_Toc61149622"/>
      <w:r>
        <w:rPr>
          <w:rFonts w:hint="eastAsia" w:ascii="宋体" w:hAnsi="宋体"/>
          <w:szCs w:val="21"/>
          <w:highlight w:val="none"/>
          <w:lang w:eastAsia="zh-CN"/>
        </w:rPr>
        <w:t xml:space="preserve">供应商在交付货物后向采购人提出初验</w:t>
      </w:r>
      <w:r>
        <w:rPr>
          <w:rFonts w:hint="eastAsia" w:ascii="宋体" w:hAnsi="宋体"/>
          <w:szCs w:val="21"/>
          <w:highlight w:val="none"/>
          <w:lang w:val="en-US" w:eastAsia="zh-CN"/>
        </w:rPr>
        <w:t xml:space="preserve">申请</w:t>
      </w:r>
      <w:r>
        <w:rPr>
          <w:rFonts w:hint="eastAsia" w:ascii="宋体" w:hAnsi="宋体"/>
          <w:szCs w:val="21"/>
          <w:highlight w:val="none"/>
          <w:lang w:eastAsia="zh-CN"/>
        </w:rPr>
        <w:t xml:space="preserve">，产品初验合格后，支付合同总金额的95%，售后服务期满进行终验，终验合格后一个月内支付余款(以上不计利息）。</w:t>
      </w:r>
      <w:r>
        <w:rPr>
          <w:rFonts w:ascii="宋体" w:hAnsi="宋体"/>
          <w:color w:val="auto"/>
          <w:szCs w:val="21"/>
          <w:highlight w:val="none"/>
        </w:rPr>
        <w:t xml:space="preserve">   </w:t>
      </w:r>
      <w:r/>
    </w:p>
    <w:p>
      <w:pPr>
        <w:pStyle w:val="1150"/>
        <w:numPr>
          <w:ilvl w:val="0"/>
          <w:numId w:val="4"/>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101"/>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3.评审有关记录由磋商小组成员签名，存档备查。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w:t>
      </w:r>
      <w:r>
        <w:rPr>
          <w:rFonts w:hint="eastAsia" w:ascii="宋体" w:hAnsi="宋体" w:cs="宋体"/>
          <w:color w:val="auto"/>
          <w:szCs w:val="21"/>
          <w:highlight w:val="none"/>
        </w:rPr>
        <w:t xml:space="preserve">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5.在磋商中，磋商的任何一方不得透露与磋商有关的其他响应磋商的供应商的技术资料、价格及其他信息。</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6.综合得分最高的供应商推荐为项目预成交人并出具评审磋商报告。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ind w:firstLine="0"/>
        <w:jc w:val="center"/>
        <w:pageBreakBefore w:val="0"/>
        <w:spacing w:line="360" w:lineRule="auto"/>
        <w:rPr>
          <w:rFonts w:hint="eastAsia" w:ascii="Calibri" w:hAnsi="Calibri" w:eastAsia="宋体" w:cs="Times New Roman"/>
          <w:sz w:val="21"/>
          <w:szCs w:val="24"/>
          <w:highlight w:val="none"/>
          <w:lang w:val="en-US" w:eastAsia="zh-CN" w:bidi="ar-SA"/>
        </w:rPr>
      </w:pPr>
      <w:r>
        <w:rPr>
          <w:rFonts w:hint="eastAsia" w:cs="宋体"/>
          <w:b/>
          <w:color w:val="auto"/>
          <w:szCs w:val="21"/>
          <w:highlight w:val="none"/>
        </w:rPr>
        <w:t xml:space="preserve"> 评审标准</w:t>
      </w:r>
      <w:r/>
    </w:p>
    <w:tbl>
      <w:tblPr>
        <w:tblStyle w:val="1154"/>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308"/>
        <w:gridCol w:w="6013"/>
        <w:gridCol w:w="709"/>
      </w:tblGrid>
      <w:tr>
        <w:trPr>
          <w:trHeight w:val="47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pageBreakBefore w:val="0"/>
              <w:spacing w:line="360" w:lineRule="auto"/>
              <w:tabs>
                <w:tab w:val="left" w:pos="6104" w:leader="none"/>
              </w:tabs>
              <w:rPr>
                <w:rFonts w:hint="eastAsia" w:ascii="宋体" w:hAnsi="宋体" w:eastAsia="宋体" w:cs="宋体"/>
                <w:b/>
                <w:bCs w:val="0"/>
                <w:sz w:val="21"/>
                <w:szCs w:val="21"/>
                <w:highlight w:val="none"/>
                <w:u w:val="none"/>
              </w:rPr>
            </w:pPr>
            <w:r>
              <w:rPr>
                <w:rFonts w:hint="eastAsia" w:ascii="宋体" w:hAnsi="宋体" w:cs="宋体"/>
                <w:b/>
                <w:bCs w:val="0"/>
                <w:sz w:val="21"/>
                <w:szCs w:val="21"/>
                <w:highlight w:val="none"/>
                <w:u w:val="none"/>
                <w:lang w:val="en-US" w:eastAsia="zh-CN"/>
              </w:rPr>
              <w:t xml:space="preserve">序</w:t>
            </w:r>
            <w:r>
              <w:rPr>
                <w:rFonts w:hint="eastAsia" w:ascii="宋体" w:hAnsi="宋体" w:eastAsia="宋体" w:cs="宋体"/>
                <w:b/>
                <w:bCs w:val="0"/>
                <w:sz w:val="21"/>
                <w:szCs w:val="21"/>
                <w:highlight w:val="none"/>
                <w:u w:val="none"/>
              </w:rPr>
              <w:t xml:space="preserve">号</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评审细则</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分值</w:t>
            </w:r>
            <w:r/>
          </w:p>
        </w:tc>
      </w:tr>
      <w:tr>
        <w:trPr>
          <w:trHeight w:val="522"/>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lang w:val="en-US" w:eastAsia="zh-CN"/>
              </w:rPr>
              <w:t xml:space="preserve">价格</w:t>
            </w:r>
            <w:r>
              <w:rPr>
                <w:rFonts w:hint="eastAsia" w:ascii="宋体" w:hAnsi="宋体" w:eastAsia="宋体" w:cs="宋体"/>
                <w:b w:val="0"/>
                <w:bCs/>
                <w:sz w:val="21"/>
                <w:szCs w:val="21"/>
                <w:highlight w:val="none"/>
                <w:u w:val="none"/>
              </w:rPr>
              <w:t xml:space="preserve">（</w:t>
            </w:r>
            <w:r>
              <w:rPr>
                <w:rFonts w:hint="eastAsia" w:ascii="宋体" w:hAnsi="宋体" w:eastAsia="宋体" w:cs="宋体"/>
                <w:b w:val="0"/>
                <w:bCs/>
                <w:sz w:val="21"/>
                <w:szCs w:val="21"/>
                <w:highlight w:val="none"/>
                <w:u w:val="none"/>
                <w:lang w:val="en-US" w:eastAsia="zh-CN"/>
              </w:rPr>
              <w:t xml:space="preserve">30</w:t>
            </w:r>
            <w:r>
              <w:rPr>
                <w:rFonts w:hint="eastAsia" w:ascii="宋体" w:hAnsi="宋体" w:eastAsia="宋体" w:cs="宋体"/>
                <w:b w:val="0"/>
                <w:bCs/>
                <w:sz w:val="21"/>
                <w:szCs w:val="21"/>
                <w:highlight w:val="none"/>
                <w:u w:val="none"/>
              </w:rPr>
              <w:t xml:space="preserve">分）</w:t>
            </w:r>
            <w:r/>
          </w:p>
        </w:tc>
      </w:tr>
      <w:tr>
        <w:trPr>
          <w:trHeight w:val="179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满足磋商文件要求且最后磋商报价最低的报价为评标基准价，其价格分为满分。其他供应商的价格分统一按照下列公式计算：磋商报价得分=(评标基准价／各供应商最后磋商报价)×100%×30，得分保留小数点后2位。</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30</w:t>
            </w:r>
            <w:r/>
          </w:p>
        </w:tc>
      </w:tr>
      <w:tr>
        <w:trPr>
          <w:trHeight w:val="661"/>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jc w:val="both"/>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商务（</w:t>
            </w:r>
            <w:r>
              <w:rPr>
                <w:rFonts w:hint="eastAsia" w:ascii="宋体" w:hAnsi="宋体" w:cs="宋体"/>
                <w:b w:val="0"/>
                <w:bCs/>
                <w:sz w:val="21"/>
                <w:szCs w:val="21"/>
                <w:highlight w:val="none"/>
                <w:u w:val="none"/>
                <w:lang w:val="en-US" w:eastAsia="zh-CN"/>
              </w:rPr>
              <w:t xml:space="preserve">8</w:t>
            </w:r>
            <w:r>
              <w:rPr>
                <w:rFonts w:hint="eastAsia" w:ascii="宋体" w:hAnsi="宋体" w:eastAsia="宋体" w:cs="宋体"/>
                <w:b w:val="0"/>
                <w:bCs/>
                <w:sz w:val="21"/>
                <w:szCs w:val="21"/>
                <w:highlight w:val="none"/>
                <w:u w:val="none"/>
                <w:lang w:val="en-US" w:eastAsia="zh-CN"/>
              </w:rPr>
              <w:t xml:space="preserve">分）</w:t>
            </w:r>
            <w:r/>
          </w:p>
        </w:tc>
      </w:tr>
      <w:tr>
        <w:trPr>
          <w:trHeight w:val="136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0"/>
              <w:jc w:val="left"/>
              <w:spacing w:line="360" w:lineRule="auto"/>
              <w:tabs>
                <w:tab w:val="left" w:pos="630" w:leader="none"/>
              </w:tabs>
              <w:rPr>
                <w:rFonts w:hint="eastAsia" w:ascii="宋体" w:hAnsi="宋体" w:cs="宋体"/>
                <w:bCs/>
                <w:szCs w:val="21"/>
                <w:highlight w:val="none"/>
                <w:lang w:val="zh-CN" w:eastAsia="zh-CN"/>
              </w:rPr>
            </w:pPr>
            <w:r>
              <w:rPr>
                <w:rFonts w:hint="eastAsia" w:ascii="宋体" w:hAnsi="宋体" w:eastAsia="宋体" w:cs="宋体"/>
                <w:b w:val="0"/>
                <w:bCs/>
                <w:sz w:val="21"/>
                <w:szCs w:val="21"/>
                <w:highlight w:val="none"/>
                <w:u w:val="none"/>
                <w:lang w:eastAsia="zh-CN"/>
              </w:rPr>
              <w:t xml:space="preserve">投标人或所投产品生产厂家</w:t>
            </w:r>
            <w:r>
              <w:rPr>
                <w:rFonts w:hint="eastAsia" w:ascii="宋体" w:hAnsi="宋体" w:cs="宋体"/>
                <w:bCs/>
                <w:szCs w:val="21"/>
                <w:highlight w:val="none"/>
                <w:lang w:val="en-US" w:eastAsia="zh-CN"/>
              </w:rPr>
              <w:t xml:space="preserve">自2022年1月1日以来（以合同签订时间为准）具有类似本采购包产品销售业绩</w:t>
            </w:r>
            <w:r>
              <w:rPr>
                <w:rFonts w:hint="eastAsia" w:ascii="宋体" w:hAnsi="宋体" w:cs="宋体"/>
                <w:bCs/>
                <w:szCs w:val="21"/>
                <w:highlight w:val="none"/>
                <w:lang w:val="zh-CN" w:eastAsia="zh-CN"/>
              </w:rPr>
              <w:t xml:space="preserve">的有一</w:t>
            </w:r>
            <w:r>
              <w:rPr>
                <w:rFonts w:hint="eastAsia" w:ascii="宋体" w:hAnsi="宋体" w:cs="宋体"/>
                <w:bCs/>
                <w:szCs w:val="21"/>
                <w:highlight w:val="none"/>
                <w:lang w:val="en-US" w:eastAsia="zh-CN"/>
              </w:rPr>
              <w:t xml:space="preserve">份</w:t>
            </w:r>
            <w:r>
              <w:rPr>
                <w:rFonts w:hint="eastAsia" w:ascii="宋体" w:hAnsi="宋体" w:cs="宋体"/>
                <w:bCs/>
                <w:szCs w:val="21"/>
                <w:highlight w:val="none"/>
                <w:lang w:val="zh-CN" w:eastAsia="zh-CN"/>
              </w:rPr>
              <w:t xml:space="preserve">得</w:t>
            </w:r>
            <w:r>
              <w:rPr>
                <w:rFonts w:hint="eastAsia" w:ascii="宋体" w:hAnsi="宋体" w:cs="宋体"/>
                <w:bCs/>
                <w:szCs w:val="21"/>
                <w:highlight w:val="none"/>
                <w:lang w:val="en-US" w:eastAsia="zh-CN"/>
              </w:rPr>
              <w:t xml:space="preserve">1.6</w:t>
            </w:r>
            <w:r>
              <w:rPr>
                <w:rFonts w:hint="eastAsia" w:ascii="宋体" w:hAnsi="宋体" w:cs="宋体"/>
                <w:bCs/>
                <w:szCs w:val="21"/>
                <w:highlight w:val="none"/>
                <w:lang w:val="zh-CN" w:eastAsia="zh-CN"/>
              </w:rPr>
              <w:t xml:space="preserve">分；最多可得</w:t>
            </w:r>
            <w:r>
              <w:rPr>
                <w:rFonts w:hint="eastAsia" w:ascii="宋体" w:hAnsi="宋体" w:cs="宋体"/>
                <w:bCs/>
                <w:szCs w:val="21"/>
                <w:highlight w:val="none"/>
                <w:lang w:val="en-US" w:eastAsia="zh-CN"/>
              </w:rPr>
              <w:t xml:space="preserve">8</w:t>
            </w:r>
            <w:r>
              <w:rPr>
                <w:rFonts w:hint="eastAsia" w:ascii="宋体" w:hAnsi="宋体" w:cs="宋体"/>
                <w:bCs/>
                <w:szCs w:val="21"/>
                <w:highlight w:val="none"/>
                <w:lang w:val="zh-CN" w:eastAsia="zh-CN"/>
              </w:rPr>
              <w:t xml:space="preserve">分。</w:t>
            </w:r>
            <w:r/>
          </w:p>
          <w:p>
            <w:pPr>
              <w:ind w:firstLine="422"/>
              <w:jc w:val="left"/>
              <w:spacing w:line="360" w:lineRule="auto"/>
              <w:tabs>
                <w:tab w:val="left" w:pos="630" w:leader="none"/>
              </w:tabs>
              <w:rPr>
                <w:rFonts w:hint="default" w:ascii="宋体" w:hAnsi="宋体" w:eastAsia="宋体" w:cs="宋体"/>
                <w:b w:val="0"/>
                <w:bCs/>
                <w:sz w:val="21"/>
                <w:szCs w:val="21"/>
                <w:highlight w:val="none"/>
                <w:u w:val="none"/>
                <w:lang w:val="en-US" w:eastAsia="zh-CN"/>
              </w:rPr>
            </w:pPr>
            <w:r>
              <w:rPr>
                <w:rFonts w:hint="eastAsia" w:ascii="宋体" w:hAnsi="宋体" w:cs="宋体"/>
                <w:b/>
                <w:szCs w:val="21"/>
                <w:highlight w:val="none"/>
              </w:rPr>
              <w:t xml:space="preserve">注：</w:t>
            </w:r>
            <w:r>
              <w:rPr>
                <w:rFonts w:hint="eastAsia" w:ascii="宋体" w:hAnsi="宋体" w:cs="宋体"/>
                <w:b/>
                <w:bCs w:val="0"/>
                <w:szCs w:val="21"/>
                <w:highlight w:val="none"/>
                <w:lang w:val="en-US" w:eastAsia="zh-CN"/>
              </w:rPr>
              <w:t xml:space="preserve">业绩数量认定以单份销售合同为准。不包含制造厂商与经销商或代理商之间的供应链业绩。</w:t>
            </w:r>
            <w:r>
              <w:rPr>
                <w:rFonts w:hint="eastAsia" w:ascii="宋体" w:hAnsi="宋体" w:cs="宋体"/>
                <w:b/>
                <w:szCs w:val="21"/>
                <w:highlight w:val="none"/>
                <w:lang w:val="en-US" w:eastAsia="zh-CN"/>
              </w:rPr>
              <w:t xml:space="preserve">提供</w:t>
            </w:r>
            <w:r>
              <w:rPr>
                <w:rFonts w:hint="eastAsia" w:ascii="宋体" w:hAnsi="宋体" w:cs="宋体"/>
                <w:b/>
                <w:szCs w:val="21"/>
                <w:highlight w:val="none"/>
              </w:rPr>
              <w:t xml:space="preserve">业绩</w:t>
            </w:r>
            <w:r>
              <w:rPr>
                <w:rFonts w:hint="eastAsia" w:ascii="宋体" w:hAnsi="宋体" w:cs="宋体"/>
                <w:b/>
                <w:szCs w:val="21"/>
                <w:highlight w:val="none"/>
                <w:lang w:val="en-US" w:eastAsia="zh-CN"/>
              </w:rPr>
              <w:t xml:space="preserve">中标（成交）通知书和</w:t>
            </w:r>
            <w:r>
              <w:rPr>
                <w:rFonts w:hint="eastAsia" w:ascii="宋体" w:hAnsi="宋体" w:cs="宋体"/>
                <w:b/>
                <w:szCs w:val="21"/>
                <w:highlight w:val="none"/>
              </w:rPr>
              <w:t xml:space="preserve">合同</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协议）书原件扫描上传。</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8</w:t>
            </w:r>
            <w:r/>
          </w:p>
        </w:tc>
      </w:tr>
      <w:tr>
        <w:trPr>
          <w:trHeight w:val="463"/>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技术（</w:t>
            </w:r>
            <w:r>
              <w:rPr>
                <w:rFonts w:hint="eastAsia" w:ascii="宋体" w:hAnsi="宋体" w:cs="宋体"/>
                <w:b w:val="0"/>
                <w:bCs/>
                <w:sz w:val="21"/>
                <w:szCs w:val="21"/>
                <w:highlight w:val="none"/>
                <w:u w:val="none"/>
                <w:lang w:val="en-US" w:eastAsia="zh-CN"/>
              </w:rPr>
              <w:t xml:space="preserve">62</w:t>
            </w:r>
            <w:r>
              <w:rPr>
                <w:rFonts w:hint="eastAsia" w:ascii="宋体" w:hAnsi="宋体" w:eastAsia="宋体" w:cs="宋体"/>
                <w:b w:val="0"/>
                <w:bCs/>
                <w:sz w:val="21"/>
                <w:szCs w:val="21"/>
                <w:highlight w:val="none"/>
                <w:u w:val="none"/>
              </w:rPr>
              <w:t xml:space="preserve">分）</w:t>
            </w:r>
            <w:r/>
          </w:p>
        </w:tc>
      </w:tr>
      <w:tr>
        <w:trPr>
          <w:trHeight w:val="90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eastAsia="zh-CN"/>
              </w:rPr>
            </w:pPr>
            <w:r>
              <w:rPr>
                <w:rFonts w:hint="eastAsia" w:ascii="宋体" w:hAnsi="宋体" w:eastAsia="宋体" w:cs="宋体"/>
                <w:b w:val="0"/>
                <w:bCs/>
                <w:sz w:val="21"/>
                <w:szCs w:val="21"/>
                <w:highlight w:val="none"/>
                <w:u w:val="none"/>
                <w:lang w:eastAsia="zh-CN"/>
              </w:rPr>
              <w:t xml:space="preserve">安装调试、供货计划及保证措施方案</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lang w:eastAsia="zh-CN"/>
              </w:rPr>
              <w:t xml:space="preserve">根据投标人或所投产品生产厂家针对本项目的进度安排、项目具体实施计划、安装调试、产品发运、质量控制及保证方案。</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方案符合要求，内容完整、充实的得</w:t>
            </w:r>
            <w:r>
              <w:rPr>
                <w:rFonts w:hint="eastAsia" w:ascii="宋体" w:hAnsi="宋体" w:cs="宋体"/>
                <w:b w:val="0"/>
                <w:bCs/>
                <w:sz w:val="21"/>
                <w:szCs w:val="21"/>
                <w:highlight w:val="none"/>
                <w:u w:val="none"/>
                <w:lang w:val="en-US" w:eastAsia="zh-CN"/>
              </w:rPr>
              <w:t xml:space="preserve">15</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方案符合要求，内容完整，但有所欠缺的得</w:t>
            </w:r>
            <w:r>
              <w:rPr>
                <w:rFonts w:hint="eastAsia" w:ascii="宋体" w:hAnsi="宋体" w:cs="宋体"/>
                <w:b w:val="0"/>
                <w:bCs/>
                <w:sz w:val="21"/>
                <w:szCs w:val="21"/>
                <w:highlight w:val="none"/>
                <w:u w:val="none"/>
                <w:lang w:val="en-US" w:eastAsia="zh-CN"/>
              </w:rPr>
              <w:t xml:space="preserve">11</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方案符合要求，但内容不完整的得</w:t>
            </w:r>
            <w:r>
              <w:rPr>
                <w:rFonts w:hint="eastAsia" w:ascii="宋体" w:hAnsi="宋体" w:cs="宋体"/>
                <w:b w:val="0"/>
                <w:bCs/>
                <w:sz w:val="21"/>
                <w:szCs w:val="21"/>
                <w:highlight w:val="none"/>
                <w:u w:val="none"/>
                <w:lang w:val="en-US" w:eastAsia="zh-CN"/>
              </w:rPr>
              <w:t xml:space="preserve">7</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eastAsia="zh-CN"/>
              </w:rPr>
            </w:pPr>
            <w:r>
              <w:rPr>
                <w:rFonts w:hint="eastAsia" w:ascii="宋体" w:hAnsi="宋体" w:eastAsia="宋体" w:cs="宋体"/>
                <w:b w:val="0"/>
                <w:bCs/>
                <w:sz w:val="21"/>
                <w:szCs w:val="21"/>
                <w:highlight w:val="none"/>
                <w:u w:val="none"/>
                <w:lang w:val="en-US" w:eastAsia="zh-CN"/>
              </w:rPr>
              <w:t xml:space="preserve">不符合项目需求或未提供方案得</w:t>
            </w:r>
            <w:r>
              <w:rPr>
                <w:rFonts w:hint="eastAsia" w:ascii="宋体" w:hAnsi="宋体" w:cs="宋体"/>
                <w:b w:val="0"/>
                <w:bCs/>
                <w:sz w:val="21"/>
                <w:szCs w:val="21"/>
                <w:highlight w:val="none"/>
                <w:u w:val="none"/>
                <w:lang w:val="en-US" w:eastAsia="zh-CN"/>
              </w:rPr>
              <w:t xml:space="preserve">0</w:t>
            </w:r>
            <w:r>
              <w:rPr>
                <w:rFonts w:hint="eastAsia" w:ascii="宋体" w:hAnsi="宋体" w:eastAsia="宋体" w:cs="宋体"/>
                <w:b w:val="0"/>
                <w:bCs/>
                <w:sz w:val="21"/>
                <w:szCs w:val="21"/>
                <w:highlight w:val="none"/>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15</w:t>
            </w:r>
            <w:r/>
          </w:p>
        </w:tc>
      </w:tr>
      <w:tr>
        <w:trPr>
          <w:trHeight w:val="89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质保期后的服务维修方案和计划</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bidi="zh-CN"/>
              </w:rPr>
              <w:t xml:space="preserve">质保期后的服务维修方案和计划(含响应时间长短)：</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方案符合要求，内容完整、充实的得</w:t>
            </w:r>
            <w:r>
              <w:rPr>
                <w:rFonts w:hint="eastAsia" w:ascii="宋体" w:hAnsi="宋体" w:cs="宋体"/>
                <w:b w:val="0"/>
                <w:bCs/>
                <w:sz w:val="21"/>
                <w:szCs w:val="21"/>
                <w:highlight w:val="none"/>
                <w:u w:val="none"/>
                <w:lang w:val="en-US" w:eastAsia="zh-CN"/>
              </w:rPr>
              <w:t xml:space="preserve">15</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方案符合要求，内容完整，但有所欠缺的得</w:t>
            </w:r>
            <w:r>
              <w:rPr>
                <w:rFonts w:hint="eastAsia" w:ascii="宋体" w:hAnsi="宋体" w:cs="宋体"/>
                <w:b w:val="0"/>
                <w:bCs/>
                <w:sz w:val="21"/>
                <w:szCs w:val="21"/>
                <w:highlight w:val="none"/>
                <w:u w:val="none"/>
                <w:lang w:val="en-US" w:eastAsia="zh-CN"/>
              </w:rPr>
              <w:t xml:space="preserve">11</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方案符合要求，但内容不完整的得</w:t>
            </w:r>
            <w:r>
              <w:rPr>
                <w:rFonts w:hint="eastAsia" w:ascii="宋体" w:hAnsi="宋体" w:cs="宋体"/>
                <w:b w:val="0"/>
                <w:bCs/>
                <w:sz w:val="21"/>
                <w:szCs w:val="21"/>
                <w:highlight w:val="none"/>
                <w:u w:val="none"/>
                <w:lang w:val="en-US" w:eastAsia="zh-CN"/>
              </w:rPr>
              <w:t xml:space="preserve">7</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lang w:val="en-US" w:eastAsia="zh-CN"/>
              </w:rPr>
              <w:t xml:space="preserve">不符合项目需求或未提供方案得</w:t>
            </w:r>
            <w:r>
              <w:rPr>
                <w:rFonts w:hint="eastAsia" w:ascii="宋体" w:hAnsi="宋体" w:cs="宋体"/>
                <w:b w:val="0"/>
                <w:bCs/>
                <w:sz w:val="21"/>
                <w:szCs w:val="21"/>
                <w:highlight w:val="none"/>
                <w:u w:val="none"/>
                <w:lang w:val="en-US" w:eastAsia="zh-CN"/>
              </w:rPr>
              <w:t xml:space="preserve">0</w:t>
            </w:r>
            <w:r>
              <w:rPr>
                <w:rFonts w:hint="eastAsia" w:ascii="宋体" w:hAnsi="宋体" w:eastAsia="宋体" w:cs="宋体"/>
                <w:b w:val="0"/>
                <w:bCs/>
                <w:sz w:val="21"/>
                <w:szCs w:val="21"/>
                <w:highlight w:val="none"/>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15</w:t>
            </w:r>
            <w:r/>
          </w:p>
        </w:tc>
      </w:tr>
      <w:tr>
        <w:trPr>
          <w:trHeight w:val="2733"/>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ascii="宋体" w:hAnsi="宋体" w:eastAsia="宋体" w:cs="宋体"/>
                <w:b w:val="0"/>
                <w:bCs/>
                <w:sz w:val="21"/>
                <w:szCs w:val="21"/>
                <w:highlight w:val="none"/>
                <w:u w:val="none"/>
                <w:lang w:val="en-US" w:eastAsia="zh-CN"/>
              </w:rPr>
            </w:pPr>
            <w:r>
              <w:rPr>
                <w:rFonts w:hint="eastAsia" w:hAnsi="Arial"/>
                <w:bCs/>
                <w:sz w:val="21"/>
                <w:szCs w:val="21"/>
                <w:highlight w:val="none"/>
                <w:lang w:val="en-US" w:eastAsia="zh-CN"/>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评委根据</w:t>
            </w:r>
            <w:r>
              <w:rPr>
                <w:rFonts w:hint="eastAsia" w:ascii="宋体" w:hAnsi="宋体" w:eastAsia="宋体" w:cs="宋体"/>
                <w:b w:val="0"/>
                <w:bCs/>
                <w:sz w:val="21"/>
                <w:szCs w:val="21"/>
                <w:highlight w:val="none"/>
                <w:u w:val="none"/>
                <w:lang w:eastAsia="zh-CN"/>
              </w:rPr>
              <w:t xml:space="preserve">投标人或所投产品生产厂家</w:t>
            </w:r>
            <w:r>
              <w:rPr>
                <w:rFonts w:hint="eastAsia" w:ascii="宋体" w:hAnsi="宋体" w:eastAsia="宋体" w:cs="宋体"/>
                <w:b w:val="0"/>
                <w:bCs/>
                <w:sz w:val="21"/>
                <w:szCs w:val="21"/>
                <w:highlight w:val="none"/>
                <w:u w:val="none"/>
                <w:lang w:val="en-US" w:eastAsia="zh-CN"/>
              </w:rPr>
              <w:t xml:space="preserve">提供使用指导、培训服务方案的内容及措施的合理性及有效性进行评审。</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方案符合要求，内容完整、充实的得</w:t>
            </w:r>
            <w:r>
              <w:rPr>
                <w:rFonts w:hint="eastAsia" w:ascii="宋体" w:hAnsi="宋体" w:cs="宋体"/>
                <w:b w:val="0"/>
                <w:bCs/>
                <w:sz w:val="21"/>
                <w:szCs w:val="21"/>
                <w:highlight w:val="none"/>
                <w:u w:val="none"/>
                <w:lang w:val="en-US" w:eastAsia="zh-CN" w:bidi="zh-CN"/>
              </w:rPr>
              <w:t xml:space="preserve">10</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方案符合要求，内容完整，但有所欠缺的得</w:t>
            </w:r>
            <w:r>
              <w:rPr>
                <w:rFonts w:hint="eastAsia" w:ascii="宋体" w:hAnsi="宋体" w:cs="宋体"/>
                <w:b w:val="0"/>
                <w:bCs/>
                <w:sz w:val="21"/>
                <w:szCs w:val="21"/>
                <w:highlight w:val="none"/>
                <w:u w:val="none"/>
                <w:lang w:val="en-US" w:eastAsia="zh-CN" w:bidi="zh-CN"/>
              </w:rPr>
              <w:t xml:space="preserve">7</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方案符合要求，但内容不完整的得</w:t>
            </w:r>
            <w:r>
              <w:rPr>
                <w:rFonts w:hint="eastAsia" w:ascii="宋体" w:hAnsi="宋体" w:cs="宋体"/>
                <w:b w:val="0"/>
                <w:bCs/>
                <w:sz w:val="21"/>
                <w:szCs w:val="21"/>
                <w:highlight w:val="none"/>
                <w:u w:val="none"/>
                <w:lang w:val="en-US" w:eastAsia="zh-CN" w:bidi="zh-CN"/>
              </w:rPr>
              <w:t xml:space="preserve">4</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bidi="zh-CN"/>
              </w:rPr>
              <w:t xml:space="preserve">不符合项目需求或未提供方案得</w:t>
            </w:r>
            <w:r>
              <w:rPr>
                <w:rFonts w:hint="eastAsia" w:ascii="宋体" w:hAnsi="宋体" w:cs="宋体"/>
                <w:b w:val="0"/>
                <w:bCs/>
                <w:sz w:val="21"/>
                <w:szCs w:val="21"/>
                <w:highlight w:val="none"/>
                <w:u w:val="none"/>
                <w:lang w:val="en-US" w:eastAsia="zh-CN" w:bidi="zh-CN"/>
              </w:rPr>
              <w:t xml:space="preserve">0</w:t>
            </w:r>
            <w:r>
              <w:rPr>
                <w:rFonts w:hint="eastAsia" w:ascii="宋体" w:hAnsi="宋体" w:eastAsia="宋体" w:cs="宋体"/>
                <w:b w:val="0"/>
                <w:bCs/>
                <w:sz w:val="21"/>
                <w:szCs w:val="21"/>
                <w:highlight w:val="none"/>
                <w:u w:val="none"/>
                <w:lang w:val="en-US" w:eastAsia="zh-CN" w:bidi="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10</w:t>
            </w:r>
            <w:r/>
          </w:p>
        </w:tc>
      </w:tr>
      <w:tr>
        <w:trPr>
          <w:trHeight w:val="2042"/>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hAnsi="Arial" w:eastAsia="宋体" w:cs="Times New Roman"/>
                <w:bCs/>
                <w:sz w:val="21"/>
                <w:szCs w:val="21"/>
                <w:highlight w:val="none"/>
                <w:lang w:val="en-US" w:eastAsia="zh-CN"/>
              </w:rPr>
            </w:pPr>
            <w:r>
              <w:rPr>
                <w:rFonts w:hint="eastAsia" w:hAnsi="Arial" w:eastAsia="宋体" w:cs="Times New Roman"/>
                <w:bCs/>
                <w:sz w:val="21"/>
                <w:szCs w:val="21"/>
                <w:highlight w:val="none"/>
                <w:lang w:val="en-US" w:eastAsia="zh-CN"/>
              </w:rPr>
              <w:t xml:space="preserve">产品配置性能</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rPr>
              <w:t xml:space="preserve">第四章 项目</w:t>
            </w:r>
            <w:r>
              <w:rPr>
                <w:rFonts w:hint="eastAsia" w:ascii="宋体" w:hAnsi="宋体" w:cs="宋体"/>
                <w:bCs/>
                <w:szCs w:val="21"/>
                <w:highlight w:val="none"/>
                <w:lang w:val="en-US" w:eastAsia="zh-CN"/>
              </w:rPr>
              <w:t xml:space="preserve">需</w:t>
            </w:r>
            <w:r>
              <w:rPr>
                <w:rFonts w:hint="eastAsia" w:ascii="宋体" w:hAnsi="宋体" w:cs="宋体"/>
                <w:bCs/>
                <w:szCs w:val="21"/>
                <w:highlight w:val="none"/>
              </w:rPr>
              <w:t xml:space="preserve">求</w:t>
            </w:r>
            <w:r>
              <w:rPr>
                <w:rFonts w:hint="eastAsia" w:ascii="宋体" w:hAnsi="宋体" w:cs="宋体"/>
                <w:bCs/>
                <w:szCs w:val="21"/>
                <w:highlight w:val="none"/>
                <w:lang w:val="en-US" w:eastAsia="zh-CN"/>
              </w:rPr>
              <w:t xml:space="preserve">中</w:t>
            </w:r>
            <w:r>
              <w:rPr>
                <w:rFonts w:hint="eastAsia" w:ascii="宋体" w:hAnsi="宋体" w:eastAsia="宋体" w:cs="宋体"/>
                <w:b/>
                <w:bCs/>
                <w:color w:val="auto"/>
                <w:szCs w:val="21"/>
                <w:highlight w:val="none"/>
                <w:u w:val="single"/>
              </w:rPr>
              <w:t xml:space="preserve">标注“★”内容为实质性要求，不接受负偏离，否则作为无效</w:t>
            </w:r>
            <w:r>
              <w:rPr>
                <w:rFonts w:hint="eastAsia" w:ascii="宋体" w:hAnsi="宋体" w:cs="宋体"/>
                <w:b/>
                <w:bCs/>
                <w:color w:val="auto"/>
                <w:szCs w:val="21"/>
                <w:highlight w:val="none"/>
                <w:u w:val="single"/>
                <w:lang w:val="en-US" w:eastAsia="zh-CN"/>
              </w:rPr>
              <w:t xml:space="preserve">响应</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其余项</w:t>
            </w:r>
            <w:r>
              <w:rPr>
                <w:rFonts w:hint="eastAsia" w:ascii="宋体" w:hAnsi="宋体" w:cs="宋体"/>
                <w:bCs/>
                <w:szCs w:val="21"/>
                <w:highlight w:val="none"/>
              </w:rPr>
              <w:t xml:space="preserve">技术指标对应招标需求技术参数及功能，完全符合采购要求得</w:t>
            </w:r>
            <w:r>
              <w:rPr>
                <w:rFonts w:hint="eastAsia" w:ascii="宋体" w:hAnsi="宋体" w:cs="宋体"/>
                <w:bCs/>
                <w:szCs w:val="21"/>
                <w:highlight w:val="none"/>
                <w:lang w:val="en-US" w:eastAsia="zh-CN"/>
              </w:rPr>
              <w:t xml:space="preserve">22</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标注“▲”的</w:t>
            </w:r>
            <w:r>
              <w:rPr>
                <w:rFonts w:hint="eastAsia" w:ascii="宋体" w:hAnsi="宋体" w:cs="宋体"/>
                <w:bCs/>
                <w:szCs w:val="21"/>
                <w:highlight w:val="none"/>
                <w:lang w:val="en-US" w:eastAsia="zh-CN"/>
              </w:rPr>
              <w:t xml:space="preserve">3项内容</w:t>
            </w:r>
            <w:r>
              <w:rPr>
                <w:rFonts w:hint="eastAsia" w:ascii="宋体" w:hAnsi="宋体" w:cs="宋体"/>
                <w:bCs/>
                <w:szCs w:val="21"/>
                <w:highlight w:val="none"/>
              </w:rPr>
              <w:t xml:space="preserve">为重要指标，</w:t>
            </w:r>
            <w:r>
              <w:rPr>
                <w:rFonts w:hint="eastAsia" w:ascii="宋体" w:hAnsi="宋体" w:cs="宋体"/>
                <w:bCs/>
                <w:szCs w:val="21"/>
                <w:highlight w:val="none"/>
                <w:lang w:val="en-US" w:eastAsia="zh-CN"/>
              </w:rPr>
              <w:t xml:space="preserve">若有</w:t>
            </w:r>
            <w:r>
              <w:rPr>
                <w:rFonts w:hint="eastAsia" w:ascii="宋体" w:hAnsi="宋体" w:cs="宋体"/>
                <w:bCs/>
                <w:szCs w:val="21"/>
                <w:highlight w:val="none"/>
              </w:rPr>
              <w:t xml:space="preserve">负偏离，每有一项扣</w:t>
            </w:r>
            <w:r>
              <w:rPr>
                <w:rFonts w:hint="eastAsia" w:ascii="宋体" w:hAnsi="宋体" w:cs="宋体"/>
                <w:bCs/>
                <w:szCs w:val="21"/>
                <w:highlight w:val="none"/>
                <w:lang w:val="en-US" w:eastAsia="zh-CN"/>
              </w:rPr>
              <w:t xml:space="preserve">2.5</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一般技术条款负偏离每有一项扣</w:t>
            </w:r>
            <w:r>
              <w:rPr>
                <w:rFonts w:hint="eastAsia" w:ascii="宋体" w:hAnsi="宋体" w:cs="宋体"/>
                <w:bCs/>
                <w:szCs w:val="21"/>
                <w:highlight w:val="none"/>
                <w:lang w:val="en-US" w:eastAsia="zh-CN"/>
              </w:rPr>
              <w:t xml:space="preserve">0.5</w:t>
            </w:r>
            <w:r>
              <w:rPr>
                <w:rFonts w:hint="eastAsia" w:ascii="宋体" w:hAnsi="宋体" w:cs="宋体"/>
                <w:bCs/>
                <w:szCs w:val="21"/>
                <w:highlight w:val="none"/>
              </w:rPr>
              <w:t xml:space="preserve">分；扣完为止。本项最高</w:t>
            </w:r>
            <w:r>
              <w:rPr>
                <w:rFonts w:hint="eastAsia" w:ascii="宋体" w:hAnsi="宋体" w:cs="宋体"/>
                <w:bCs/>
                <w:szCs w:val="21"/>
                <w:highlight w:val="none"/>
                <w:lang w:val="en-US" w:eastAsia="zh-CN"/>
              </w:rPr>
              <w:t xml:space="preserve">22</w:t>
            </w:r>
            <w:r>
              <w:rPr>
                <w:rFonts w:hint="eastAsia" w:ascii="宋体" w:hAnsi="宋体" w:cs="宋体"/>
                <w:bCs/>
                <w:szCs w:val="21"/>
                <w:highlight w:val="none"/>
              </w:rPr>
              <w:t xml:space="preserve">分。</w:t>
            </w:r>
            <w:r/>
          </w:p>
          <w:p>
            <w:pPr>
              <w:ind w:firstLine="422"/>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cs="宋体" w:asciiTheme="minorEastAsia" w:hAnsiTheme="minorEastAsia" w:eastAsiaTheme="minorEastAsia"/>
                <w:b/>
                <w:bCs/>
                <w:szCs w:val="21"/>
                <w:highlight w:val="none"/>
              </w:rPr>
              <w:t xml:space="preserve">注：不完全响应采购需求的均为负偏离；未在《技术条款响应及偏离表》中响应的条款，视同负偏离；如为标注“★”与“▲”的指标必须提供相应的</w:t>
            </w:r>
            <w:r>
              <w:rPr>
                <w:rFonts w:hint="eastAsia" w:cs="宋体" w:asciiTheme="minorEastAsia" w:hAnsiTheme="minorEastAsia" w:eastAsiaTheme="minorEastAsia"/>
                <w:b/>
                <w:bCs/>
                <w:szCs w:val="21"/>
                <w:highlight w:val="none"/>
                <w:lang w:val="en-US" w:eastAsia="zh-CN"/>
              </w:rPr>
              <w:t xml:space="preserve">技术支持</w:t>
            </w:r>
            <w:r>
              <w:rPr>
                <w:rFonts w:hint="eastAsia" w:cs="宋体" w:asciiTheme="minorEastAsia" w:hAnsiTheme="minorEastAsia" w:eastAsiaTheme="minorEastAsia"/>
                <w:b/>
                <w:bCs/>
                <w:szCs w:val="21"/>
                <w:highlight w:val="none"/>
              </w:rPr>
              <w:t xml:space="preserve">材料（如</w:t>
            </w:r>
            <w:r>
              <w:rPr>
                <w:rFonts w:hint="eastAsia" w:cs="宋体" w:asciiTheme="minorEastAsia" w:hAnsiTheme="minorEastAsia" w:eastAsiaTheme="minorEastAsia"/>
                <w:b/>
                <w:bCs/>
                <w:szCs w:val="21"/>
                <w:highlight w:val="none"/>
                <w:lang w:val="en-US" w:eastAsia="zh-CN"/>
              </w:rPr>
              <w:t xml:space="preserve">产品说明书或</w:t>
            </w:r>
            <w:r>
              <w:rPr>
                <w:rFonts w:hint="eastAsia" w:cs="宋体" w:asciiTheme="minorEastAsia" w:hAnsiTheme="minorEastAsia" w:eastAsiaTheme="minorEastAsia"/>
                <w:b/>
                <w:bCs/>
                <w:szCs w:val="21"/>
                <w:highlight w:val="none"/>
              </w:rPr>
              <w:t xml:space="preserve">设备生产厂家证明原件</w:t>
            </w:r>
            <w:r>
              <w:rPr>
                <w:rFonts w:hint="eastAsia" w:cs="宋体" w:asciiTheme="minorEastAsia" w:hAnsiTheme="minorEastAsia" w:eastAsiaTheme="minorEastAsia"/>
                <w:b/>
                <w:bCs/>
                <w:szCs w:val="21"/>
                <w:highlight w:val="none"/>
                <w:lang w:val="en-US" w:eastAsia="zh-CN"/>
              </w:rPr>
              <w:t xml:space="preserve">或国家认可的检测机构出具的检测报告</w:t>
            </w:r>
            <w:r>
              <w:rPr>
                <w:rFonts w:hint="eastAsia" w:cs="宋体" w:asciiTheme="minorEastAsia" w:hAnsiTheme="minorEastAsia" w:eastAsiaTheme="minorEastAsia"/>
                <w:b/>
                <w:bCs/>
                <w:szCs w:val="21"/>
                <w:highlight w:val="none"/>
              </w:rPr>
              <w:t xml:space="preserve">等</w:t>
            </w:r>
            <w:r>
              <w:rPr>
                <w:rFonts w:hint="eastAsia" w:cs="宋体" w:asciiTheme="minorEastAsia" w:hAnsiTheme="minorEastAsia" w:eastAsiaTheme="minorEastAsia"/>
                <w:b/>
                <w:bCs/>
                <w:szCs w:val="21"/>
                <w:highlight w:val="none"/>
                <w:lang w:val="en-US" w:eastAsia="zh-CN"/>
              </w:rPr>
              <w:t xml:space="preserve">能</w:t>
            </w:r>
            <w:r>
              <w:rPr>
                <w:rFonts w:hint="eastAsia" w:cs="宋体" w:asciiTheme="minorEastAsia" w:hAnsiTheme="minorEastAsia" w:eastAsiaTheme="minorEastAsia"/>
                <w:b/>
                <w:bCs/>
                <w:szCs w:val="21"/>
                <w:highlight w:val="none"/>
              </w:rPr>
              <w:t xml:space="preserve">证明技术参数及功能的有效性</w:t>
            </w:r>
            <w:r>
              <w:rPr>
                <w:rFonts w:hint="eastAsia" w:cs="宋体" w:asciiTheme="minorEastAsia" w:hAnsiTheme="minorEastAsia" w:eastAsiaTheme="minorEastAsia"/>
                <w:b/>
                <w:bCs/>
                <w:szCs w:val="21"/>
                <w:highlight w:val="none"/>
                <w:lang w:val="en-US" w:eastAsia="zh-CN"/>
              </w:rPr>
              <w:t xml:space="preserve">的材料扫描件）</w:t>
            </w:r>
            <w:r>
              <w:rPr>
                <w:rFonts w:hint="eastAsia" w:cs="宋体" w:asciiTheme="minorEastAsia" w:hAnsiTheme="minorEastAsia" w:eastAsiaTheme="minorEastAsia"/>
                <w:b/>
                <w:bCs/>
                <w:szCs w:val="21"/>
                <w:highlight w:val="none"/>
              </w:rPr>
              <w:t xml:space="preserve">，如未</w:t>
            </w:r>
            <w:r>
              <w:rPr>
                <w:rFonts w:hint="eastAsia" w:cs="宋体" w:asciiTheme="minorEastAsia" w:hAnsiTheme="minorEastAsia" w:eastAsiaTheme="minorEastAsia"/>
                <w:b/>
                <w:bCs/>
                <w:szCs w:val="21"/>
                <w:highlight w:val="none"/>
                <w:lang w:val="en-US" w:eastAsia="zh-CN"/>
              </w:rPr>
              <w:t xml:space="preserve">提供技术支持</w:t>
            </w:r>
            <w:r>
              <w:rPr>
                <w:rFonts w:hint="eastAsia" w:cs="宋体" w:asciiTheme="minorEastAsia" w:hAnsiTheme="minorEastAsia" w:eastAsiaTheme="minorEastAsia"/>
                <w:b/>
                <w:bCs/>
                <w:szCs w:val="21"/>
                <w:highlight w:val="none"/>
              </w:rPr>
              <w:t xml:space="preserve">材料</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评标委员会认为不能佐证技术指标的有效性的，则同样视为负偏离。</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22</w:t>
            </w:r>
            <w:r/>
          </w:p>
        </w:tc>
      </w:tr>
      <w:tr>
        <w:trPr>
          <w:trHeight w:val="567"/>
        </w:trPr>
        <w:tc>
          <w:tcPr>
            <w:gridSpan w:val="3"/>
            <w:shd w:val="clear" w:color="auto" w:fill="auto"/>
            <w:tcBorders>
              <w:top w:val="single" w:color="auto" w:sz="4" w:space="0"/>
              <w:left w:val="single" w:color="auto" w:sz="4" w:space="0"/>
              <w:bottom w:val="single" w:color="auto" w:sz="4" w:space="0"/>
              <w:right w:val="single" w:color="auto" w:sz="4" w:space="0"/>
            </w:tcBorders>
            <w:tcW w:w="8030"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100</w:t>
            </w:r>
            <w:r/>
          </w:p>
        </w:tc>
      </w:tr>
    </w:tbl>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w:t>
      </w:r>
      <w:r>
        <w:rPr>
          <w:rFonts w:hint="eastAsia" w:ascii="宋体" w:hAnsi="宋体" w:cs="宋体"/>
          <w:b/>
          <w:bCs/>
          <w:color w:val="auto"/>
          <w:szCs w:val="21"/>
          <w:highlight w:val="none"/>
          <w:lang w:val="en-US" w:eastAsia="zh-CN"/>
        </w:rPr>
        <w:t xml:space="preserve">进行</w:t>
      </w:r>
      <w:r>
        <w:rPr>
          <w:rFonts w:hint="eastAsia" w:ascii="宋体" w:hAnsi="宋体" w:cs="宋体"/>
          <w:b/>
          <w:bCs/>
          <w:color w:val="auto"/>
          <w:szCs w:val="21"/>
          <w:highlight w:val="none"/>
        </w:rPr>
        <w:t xml:space="preserve">评分，评分四舍五入精确到小数点后两位。</w:t>
      </w:r>
      <w:r/>
    </w:p>
    <w:p>
      <w:pPr>
        <w:ind w:firstLine="482"/>
        <w:pageBreakBefore w:val="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政府采购政策功能落实：</w:t>
      </w:r>
      <w:r>
        <w:rPr>
          <w:rFonts w:hint="eastAsia" w:ascii="宋体" w:hAnsi="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人，对小型和微型企业产品的价格给予10%的扣除。</w:t>
      </w:r>
      <w:r/>
    </w:p>
    <w:p>
      <w:pPr>
        <w:ind w:firstLine="420"/>
        <w:pageBreakBefore w:val="0"/>
        <w:spacing w:line="360" w:lineRule="auto"/>
        <w:rPr>
          <w:rFonts w:hint="eastAsia" w:ascii="宋体" w:hAnsi="宋体" w:cs="宋体"/>
          <w:b/>
          <w:bCs/>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.根据《关于推动解决政府采购异常低价问题相关工作的通知》（苏财购〔2025〕62号）精神，</w:t>
      </w:r>
      <w:r>
        <w:rPr>
          <w:rFonts w:hint="eastAsia" w:ascii="宋体" w:hAnsi="宋体" w:cs="宋体"/>
          <w:b/>
          <w:bCs/>
          <w:szCs w:val="21"/>
          <w:highlight w:val="none"/>
        </w:rPr>
        <w:t xml:space="preserve">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.1投标（响应）报价低于采购项目预算 50%的，即投标（响应）报价＜采购项目预算 ×50%；</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.2投标（响应）报价低于采购项目最高限价45%的，即投标（响应）报价＜采购项目最高限价 ×45%；</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.3评审委员会认定的供应商报价过低、有可能影响产品质量或者不能诚信履约的其他情形。</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pageBreakBefore w:val="0"/>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1169"/>
        <w:pageBreakBefore w:val="0"/>
        <w:spacing w:line="360" w:lineRule="auto"/>
        <w:rPr>
          <w:rFonts w:hint="eastAsia" w:ascii="宋体" w:hAnsi="宋体"/>
          <w:bCs w:val="0"/>
          <w:color w:val="auto"/>
          <w:sz w:val="21"/>
          <w:szCs w:val="21"/>
          <w:highlight w:val="none"/>
        </w:rPr>
      </w:pPr>
      <w:r/>
      <w:bookmarkStart w:id="105" w:name="_Toc107246273"/>
      <w:r>
        <w:rPr>
          <w:rFonts w:hint="eastAsia" w:ascii="宋体" w:hAnsi="宋体"/>
          <w:bCs w:val="0"/>
          <w:color w:val="auto"/>
          <w:sz w:val="21"/>
          <w:szCs w:val="21"/>
          <w:highlight w:val="none"/>
        </w:rPr>
        <w:t xml:space="preserve">第六章 响应文件格式</w:t>
      </w:r>
      <w:bookmarkEnd w:id="105"/>
      <w:r/>
      <w:r/>
    </w:p>
    <w:p>
      <w:pPr>
        <w:pageBreakBefore w:val="0"/>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3.响应人营业执照复印件；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4.供应商近六个月中任意一个月（不含投标当月）的财务状况报告（资产负债表和利润表）或由会计师事务所出具的近两年中任意一个年度的审计报告和所附已审财务报告扫描件； </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5.供应商近六个月中任意一个月（不含投标当月）的依法缴纳税收的相关材料（提供相关主管部门证明或银行代扣证明）扫描件； </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6.提供供应商近六个月中任意一个月（不含投标当月）的所在地社保机构出具的</w:t>
      </w:r>
      <w:r>
        <w:rPr>
          <w:rFonts w:hint="eastAsia" w:ascii="宋体" w:hAnsi="宋体" w:cs="宋体"/>
          <w:bCs/>
          <w:color w:val="auto"/>
          <w:szCs w:val="21"/>
          <w:highlight w:val="none"/>
          <w:u w:val="single"/>
        </w:rPr>
        <w:t xml:space="preserve">社保缴费证明材料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成立不满一年的投标人无需提供社保缴费证明材料，但需提供书面情况说明及相关凭证</w:t>
      </w:r>
      <w:r>
        <w:rPr>
          <w:rFonts w:hint="eastAsia" w:ascii="宋体" w:hAnsi="宋体" w:cs="宋体"/>
          <w:color w:val="auto"/>
          <w:szCs w:val="21"/>
          <w:highlight w:val="none"/>
          <w:u w:val="single"/>
        </w:rPr>
        <w:t xml:space="preserve">；</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7.投标人符合《中华人民共和国政府采购法》第二十二条规定条件的承诺函；</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8.诚信承诺书；</w:t>
      </w:r>
      <w:r/>
    </w:p>
    <w:p>
      <w:pPr>
        <w:ind w:firstLine="48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u w:val="single"/>
        </w:rPr>
        <w:t xml:space="preserve">9</w:t>
      </w:r>
      <w:r>
        <w:rPr>
          <w:rFonts w:hint="eastAsia" w:ascii="宋体" w:hAnsi="宋体" w:cs="宋体"/>
          <w:bCs/>
          <w:color w:val="auto"/>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u w:val="single"/>
        </w:rPr>
        <w:t xml:space="preserve">10.《中小企业声明函》或《残疾人福利性单位声明函》或监狱和戒毒企业证明材料。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注：上述1—10中任何一条不符合要求，则资格性审查不通过，按无效响应文件处理。</w:t>
      </w:r>
      <w:r/>
    </w:p>
    <w:p>
      <w:pPr>
        <w:pStyle w:val="1182"/>
        <w:ind w:firstLine="480"/>
        <w:pageBreakBefore w:val="0"/>
        <w:spacing w:line="360" w:lineRule="auto"/>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磋商</w:t>
      </w:r>
      <w:r>
        <w:rPr>
          <w:rFonts w:hint="eastAsia" w:cs="宋体"/>
          <w:color w:val="auto"/>
          <w:highlight w:val="none"/>
          <w:lang w:val="zh-CN" w:eastAsia="zh-CN"/>
        </w:rPr>
        <w:t xml:space="preserve">文件要求提供的</w:t>
      </w:r>
      <w:r>
        <w:rPr>
          <w:rFonts w:hint="eastAsia" w:cs="宋体"/>
          <w:b/>
          <w:bCs/>
          <w:color w:val="auto"/>
          <w:highlight w:val="none"/>
          <w:lang w:val="zh-CN" w:eastAsia="zh-CN"/>
        </w:rPr>
        <w:t xml:space="preserve">资格审查证明材料</w:t>
      </w:r>
      <w:r>
        <w:rPr>
          <w:rFonts w:hint="eastAsia" w:cs="宋体"/>
          <w:color w:val="auto"/>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2.报价明细表；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3.供应商情况表；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4.技术商务条款响应正负偏离表（格式参见第六章）；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5.第四章项目需求中要求提供的材料；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6.项目组成人员表；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7.供应商认为需要提交的其他资料。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w:t>
      </w:r>
      <w:r/>
    </w:p>
    <w:p>
      <w:pPr>
        <w:ind w:firstLine="422"/>
        <w:pageBreakBefore w:val="0"/>
        <w:spacing w:before="100" w:after="100"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ageBreakBefore w:val="0"/>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jc w:val="center"/>
        <w:pageBreakBefore w:val="0"/>
        <w:spacing w:line="360" w:lineRule="auto"/>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ind w:right="640" w:firstLine="2209"/>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 xml:space="preserve">养护机械设备采购项目</w:t>
      </w:r>
      <w:r/>
    </w:p>
    <w:p>
      <w:pPr>
        <w:pStyle w:val="1170"/>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70"/>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83"/>
        <w:pageBreakBefore w:val="0"/>
        <w:spacing w:line="360" w:lineRule="auto"/>
        <w:rPr>
          <w:color w:val="auto"/>
          <w:highlight w:val="none"/>
        </w:rPr>
      </w:pPr>
      <w:r>
        <w:rPr>
          <w:color w:val="auto"/>
          <w:highlight w:val="none"/>
        </w:rPr>
      </w:r>
      <w:r/>
    </w:p>
    <w:p>
      <w:pPr>
        <w:pStyle w:val="1161"/>
        <w:jc w:val="center"/>
        <w:pageBreakBefore w:val="0"/>
        <w:spacing w:line="360" w:lineRule="auto"/>
        <w:rPr>
          <w:rFonts w:ascii="Microsoft New Tai Lue" w:hAnsi="Microsoft New Tai Lue" w:cs="Microsoft New Tai Lue"/>
          <w:b/>
          <w:color w:val="auto"/>
          <w:sz w:val="84"/>
          <w:szCs w:val="84"/>
          <w:highlight w:val="none"/>
        </w:rPr>
      </w:pPr>
      <w:r/>
      <w:bookmarkStart w:id="106"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106"/>
      <w:r/>
      <w:r/>
    </w:p>
    <w:p>
      <w:pPr>
        <w:ind w:right="640"/>
        <w:jc w:val="center"/>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1161"/>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61"/>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61"/>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61"/>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1161"/>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1161"/>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二〇二五</w:t>
      </w:r>
      <w:r>
        <w:rPr>
          <w:rFonts w:ascii="Microsoft New Tai Lue" w:hAnsi="Microsoft New Tai Lue" w:cs="Microsoft New Tai Lue"/>
          <w:b/>
          <w:color w:val="auto"/>
          <w:sz w:val="32"/>
          <w:highlight w:val="none"/>
        </w:rPr>
        <w:t xml:space="preserve">年  月  日</w:t>
      </w:r>
      <w:r/>
    </w:p>
    <w:p>
      <w:pPr>
        <w:pageBreakBefore w:val="0"/>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102"/>
      <w:r/>
      <w:bookmarkEnd w:id="103"/>
      <w:r/>
      <w:bookmarkEnd w:id="104"/>
      <w:r/>
      <w:bookmarkStart w:id="107" w:name="_Toc337816640"/>
      <w:r/>
      <w:bookmarkStart w:id="108" w:name="_Toc456102676"/>
      <w:r/>
      <w:bookmarkStart w:id="109" w:name="_Toc456102122"/>
      <w:r/>
      <w:bookmarkStart w:id="110" w:name="_Toc456102499"/>
      <w:r/>
      <w:r/>
    </w:p>
    <w:p>
      <w:pPr>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115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57"/>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56"/>
        <w:pageBreakBefore w:val="0"/>
        <w:spacing w:line="360" w:lineRule="auto"/>
        <w:rPr>
          <w:color w:val="auto"/>
          <w:highlight w:val="none"/>
        </w:rPr>
      </w:pPr>
      <w:r>
        <w:rPr>
          <w:color w:val="auto"/>
          <w:highlight w:val="none"/>
        </w:rPr>
      </w:r>
      <w:r/>
    </w:p>
    <w:p>
      <w:pPr>
        <w:pStyle w:val="1151"/>
        <w:ind w:firstLine="422"/>
        <w:pageBreakBefore w:val="0"/>
        <w:spacing w:before="0" w:after="0" w:line="360" w:lineRule="auto"/>
        <w:rPr>
          <w:rFonts w:hint="eastAsia" w:ascii="宋体" w:hAnsi="宋体" w:eastAsia="宋体"/>
          <w:color w:val="auto"/>
          <w:sz w:val="21"/>
          <w:szCs w:val="21"/>
          <w:highlight w:val="none"/>
        </w:rPr>
        <w:sectPr>
          <w:footerReference w:type="default" r:id="rId18"/>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51"/>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1184"/>
        <w:ind w:firstLine="422"/>
        <w:jc w:val="center"/>
        <w:pageBreakBefore w:val="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184"/>
        <w:ind w:left="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184"/>
        <w:ind w:firstLine="420"/>
        <w:pageBreakBefore w:val="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184"/>
        <w:ind w:firstLine="420"/>
        <w:pageBreakBefore w:val="0"/>
        <w:spacing w:line="360" w:lineRule="auto"/>
        <w:rPr>
          <w:color w:val="auto"/>
          <w:highlight w:val="none"/>
        </w:rPr>
      </w:pPr>
      <w:r>
        <w:rPr>
          <w:rFonts w:hint="eastAsia" w:ascii="宋体" w:hAnsi="宋体"/>
          <w:color w:val="auto"/>
          <w:sz w:val="21"/>
          <w:szCs w:val="21"/>
          <w:highlight w:val="none"/>
        </w:rPr>
        <w:t xml:space="preserve">日期：</w:t>
      </w:r>
      <w:bookmarkStart w:id="111" w:name="_格式3__银行出具的资信证明"/>
      <w:r/>
      <w:bookmarkEnd w:id="111"/>
      <w:r/>
      <w:bookmarkStart w:id="112" w:name="_Hlt26955070"/>
      <w:r/>
      <w:bookmarkEnd w:id="112"/>
      <w:r/>
      <w:bookmarkStart w:id="113" w:name="_Hlt26671380"/>
      <w:r/>
      <w:bookmarkEnd w:id="113"/>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pPr>
      <w:r>
        <w:rPr>
          <w:color w:val="auto"/>
          <w:szCs w:val="21"/>
          <w:highlight w:val="none"/>
        </w:rPr>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115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57"/>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1166"/>
        <w:pageBreakBefore w:val="0"/>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1166"/>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采购文件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166"/>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1156"/>
        <w:pageBreakBefore w:val="0"/>
        <w:spacing w:line="360" w:lineRule="auto"/>
        <w:rPr>
          <w:color w:val="auto"/>
          <w:highlight w:val="none"/>
        </w:rPr>
      </w:pPr>
      <w:r>
        <w:rPr>
          <w:color w:val="auto"/>
          <w:highlight w:val="none"/>
        </w:rPr>
      </w:r>
      <w:r/>
    </w:p>
    <w:p>
      <w:pPr>
        <w:pStyle w:val="1151"/>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1151"/>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pageBreakBefore w:val="0"/>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pageBreakBefore w:val="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5"/>
        </w:numPr>
        <w:ind w:left="1134"/>
        <w:jc w:val="left"/>
        <w:pageBreakBefore w:val="0"/>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5"/>
        </w:numPr>
        <w:ind w:left="1134"/>
        <w:jc w:val="left"/>
        <w:pageBreakBefore w:val="0"/>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5"/>
        </w:numPr>
        <w:ind w:left="1134"/>
        <w:jc w:val="left"/>
        <w:pageBreakBefore w:val="0"/>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5"/>
        </w:numPr>
        <w:ind w:left="1134"/>
        <w:jc w:val="left"/>
        <w:pageBreakBefore w:val="0"/>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pageBreakBefore w:val="0"/>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pageBreakBefore w:val="0"/>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11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bl>
    <w:p>
      <w:pPr>
        <w:pageBreakBefore w:val="0"/>
        <w:spacing w:line="360" w:lineRule="auto"/>
        <w:rPr>
          <w:color w:val="auto"/>
          <w:szCs w:val="21"/>
          <w:highlight w:val="none"/>
        </w:rPr>
      </w:pPr>
      <w:r>
        <w:rPr>
          <w:color w:val="auto"/>
          <w:szCs w:val="21"/>
          <w:highlight w:val="none"/>
        </w:rPr>
      </w:r>
      <w:r/>
    </w:p>
    <w:p>
      <w:pPr>
        <w:ind w:firstLine="420"/>
        <w:pageBreakBefore w:val="0"/>
        <w:spacing w:line="360" w:lineRule="auto"/>
        <w:rPr>
          <w:color w:val="auto"/>
          <w:szCs w:val="21"/>
          <w:highlight w:val="none"/>
        </w:rPr>
      </w:pPr>
      <w:r>
        <w:rPr>
          <w:rFonts w:hint="eastAsia"/>
          <w:color w:val="auto"/>
          <w:szCs w:val="21"/>
          <w:highlight w:val="none"/>
        </w:rPr>
        <w:t xml:space="preserve">上述声明真实有效，否则我方负全部责任。</w:t>
      </w:r>
      <w:r/>
    </w:p>
    <w:p>
      <w:pPr>
        <w:pageBreakBefore w:val="0"/>
        <w:spacing w:line="360" w:lineRule="auto"/>
        <w:rPr>
          <w:color w:val="auto"/>
          <w:szCs w:val="21"/>
          <w:highlight w:val="none"/>
        </w:rPr>
      </w:pPr>
      <w:r>
        <w:rPr>
          <w:color w:val="auto"/>
          <w:szCs w:val="21"/>
          <w:highlight w:val="none"/>
        </w:rPr>
      </w:r>
      <w:r/>
    </w:p>
    <w:p>
      <w:pPr>
        <w:jc w:val="right"/>
        <w:pageBreakBefore w:val="0"/>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的磋商活动中，郑重承诺如下：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jc w:val="center"/>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lang w:val="en-US" w:eastAsia="zh-CN"/>
        </w:rPr>
        <w:t xml:space="preserve">5.售后</w:t>
      </w:r>
      <w:r>
        <w:rPr>
          <w:rFonts w:hint="eastAsia" w:ascii="宋体" w:hAnsi="宋体" w:cs="宋体"/>
          <w:b/>
          <w:bCs/>
          <w:color w:val="auto"/>
          <w:szCs w:val="21"/>
          <w:highlight w:val="none"/>
        </w:rPr>
        <w:t xml:space="preserve">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格式自拟）</w:t>
      </w:r>
      <w:r/>
    </w:p>
    <w:p>
      <w:pPr>
        <w:ind w:firstLine="42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泰州市公路事业发展中心</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投标人名称（单位公章）：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Style w:val="1179"/>
        <w:jc w:val="center"/>
        <w:pageBreakBefore w:val="0"/>
        <w:spacing w:before="143" w:after="0"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6.中小企业声明函（货物）</w:t>
      </w:r>
      <w:r/>
    </w:p>
    <w:p>
      <w:pPr>
        <w:pStyle w:val="1198"/>
        <w:ind w:firstLine="480"/>
        <w:pageBreakBefore w:val="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Times New Roman"/>
          <w:sz w:val="21"/>
          <w:szCs w:val="21"/>
          <w:highlight w:val="none"/>
          <w:u w:val="single"/>
          <w:lang w:val="en-US" w:eastAsia="zh-CN" w:bidi="ar-SA"/>
        </w:rPr>
        <w:t xml:space="preserve">  [单位名称]  </w:t>
      </w:r>
      <w:r>
        <w:rPr>
          <w:rFonts w:hint="eastAsia" w:ascii="宋体" w:hAnsi="宋体" w:eastAsia="宋体" w:cs="Times New Roman"/>
          <w:sz w:val="21"/>
          <w:szCs w:val="21"/>
          <w:highlight w:val="none"/>
          <w:lang w:val="en-US" w:eastAsia="zh-CN" w:bidi="ar-SA"/>
        </w:rPr>
        <w:t xml:space="preserve">的</w:t>
      </w:r>
      <w:r>
        <w:rPr>
          <w:rFonts w:hint="eastAsia" w:ascii="宋体" w:hAnsi="宋体" w:eastAsia="宋体" w:cs="Times New Roman"/>
          <w:sz w:val="21"/>
          <w:szCs w:val="21"/>
          <w:highlight w:val="none"/>
          <w:u w:val="single"/>
          <w:lang w:val="en-US" w:eastAsia="zh-CN" w:bidi="ar-SA"/>
        </w:rPr>
        <w:t xml:space="preserve">  [项目名称]  </w:t>
      </w:r>
      <w:r>
        <w:rPr>
          <w:rFonts w:hint="eastAsia" w:ascii="宋体" w:hAnsi="宋体" w:eastAsia="宋体" w:cs="Times New Roman"/>
          <w:sz w:val="21"/>
          <w:szCs w:val="21"/>
          <w:highlight w:val="none"/>
          <w:lang w:val="en-US" w:eastAsia="zh-CN" w:bidi="ar-SA"/>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pStyle w:val="1199"/>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cs="Times New Roman"/>
          <w:sz w:val="21"/>
          <w:szCs w:val="21"/>
          <w:highlight w:val="none"/>
          <w:u w:val="single"/>
          <w:lang w:val="en-US" w:eastAsia="zh-CN" w:bidi="ar-SA"/>
        </w:rPr>
        <w:t xml:space="preserve">制造业</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p>
    <w:p>
      <w:pPr>
        <w:pStyle w:val="1199"/>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p>
    <w:p>
      <w:pPr>
        <w:pStyle w:val="1199"/>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rPr>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以上企业，不属于大企业的分支机构，不存在控股股东为大企业的情形，也不存在与大企业的负责人为同一人的情形。</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如组成联合体或者接受分包合同的中小企业与联合体内的其他企业，分包企业之间不存在直接控制、管理关系；</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本企业对上述声明内容的真实性负责。如有虚假，将依法承担相应责任。</w:t>
      </w:r>
      <w:r/>
    </w:p>
    <w:p>
      <w:pPr>
        <w:pStyle w:val="1198"/>
        <w:ind w:firstLine="48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ageBreakBefore w:val="0"/>
        <w:spacing w:line="360" w:lineRule="auto"/>
        <w:rPr>
          <w:rFonts w:ascii="宋体" w:hAnsi="宋体"/>
          <w:b/>
          <w:bCs/>
          <w:sz w:val="22"/>
          <w:szCs w:val="22"/>
          <w:highlight w:val="none"/>
        </w:rPr>
      </w:pPr>
      <w:r>
        <w:rPr>
          <w:rFonts w:hint="eastAsia" w:ascii="宋体" w:hAnsi="宋体"/>
          <w:b/>
          <w:bCs/>
          <w:sz w:val="22"/>
          <w:szCs w:val="22"/>
          <w:highlight w:val="none"/>
        </w:rPr>
        <w:t xml:space="preserve">备注：</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(1)从业人员、营业收入、资产总额填报上一年度数据，无上一年度数据的新成立企业可不填报。</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(2)上述“相关企业”含联合体中的中小企业、签订分包意向协议的中小企业；</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(3)供应商如未按要求提供此声明函，报价将不做相应扣除；中标供应商如享受本项目小微企业扶持政策的，其《中小企业声明函》将随本项目的中标结果同时公告，接受社会监督； </w:t>
      </w:r>
      <w:r/>
    </w:p>
    <w:p>
      <w:pPr>
        <w:pStyle w:val="1198"/>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1198"/>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供应商名称（盖章）：</w:t>
      </w:r>
      <w:r/>
    </w:p>
    <w:p>
      <w:pPr>
        <w:pStyle w:val="1198"/>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  期：</w:t>
      </w:r>
      <w:r/>
    </w:p>
    <w:p>
      <w:pPr>
        <w:ind w:firstLine="49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.残疾人福利性单位声明函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firstLine="480"/>
        <w:jc w:val="center"/>
        <w:pageBreakBefore w:val="0"/>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.监狱企业证明函</w:t>
      </w:r>
      <w:r/>
    </w:p>
    <w:p>
      <w:pPr>
        <w:ind w:firstLine="646"/>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p>
    <w:p>
      <w:pPr>
        <w:pStyle w:val="1161"/>
        <w:pageBreakBefore w:val="0"/>
        <w:spacing w:line="360" w:lineRule="auto"/>
        <w:rPr>
          <w:szCs w:val="21"/>
          <w:highlight w:val="none"/>
        </w:rPr>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1161"/>
        <w:pageBreakBefore w:val="0"/>
        <w:spacing w:line="360" w:lineRule="auto"/>
        <w:rPr>
          <w:szCs w:val="21"/>
          <w:highlight w:val="none"/>
        </w:rPr>
      </w:pPr>
      <w:r>
        <w:rPr>
          <w:szCs w:val="21"/>
          <w:highlight w:val="none"/>
        </w:rPr>
      </w:r>
      <w:r/>
    </w:p>
    <w:p>
      <w:pPr>
        <w:pStyle w:val="1156"/>
        <w:pageBreakBefore w:val="0"/>
        <w:spacing w:line="360" w:lineRule="auto"/>
        <w:rPr>
          <w:szCs w:val="21"/>
          <w:highlight w:val="none"/>
        </w:rPr>
      </w:pPr>
      <w:r>
        <w:rPr>
          <w:szCs w:val="21"/>
          <w:highlight w:val="none"/>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Cs w:val="21"/>
          <w:highlight w:val="none"/>
          <w:lang w:bidi="ar"/>
        </w:rPr>
      </w:r>
      <w:r/>
    </w:p>
    <w:p>
      <w:pPr>
        <w:pStyle w:val="1151"/>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磋商响应函</w:t>
      </w:r>
      <w:r/>
    </w:p>
    <w:p>
      <w:pPr>
        <w:pStyle w:val="1176"/>
        <w:ind w:firstLine="420"/>
        <w:pageBreakBefore w:val="0"/>
        <w:spacing w:line="360" w:lineRule="auto"/>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eastAsia="zh-CN"/>
        </w:rPr>
        <w:t xml:space="preserve">养护机械设备采购项目</w:t>
      </w:r>
      <w:r>
        <w:rPr>
          <w:rFonts w:hint="eastAsia" w:ascii="宋体" w:hAnsi="宋体"/>
          <w:color w:val="auto"/>
          <w:sz w:val="21"/>
          <w:szCs w:val="21"/>
          <w:highlight w:val="none"/>
        </w:rPr>
        <w:t xml:space="preserve">磋商采购的有关事宜。</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1.按磋商文件规定的各项要求，向采购人提供所需服务。</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184"/>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.技术条款响应及偏离表</w:t>
      </w:r>
      <w:r/>
    </w:p>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115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响应人提交的响应文件应</w:t>
      </w:r>
      <w:r>
        <w:rPr>
          <w:rFonts w:hint="eastAsia" w:ascii="宋体" w:hAnsi="宋体" w:cs="宋体"/>
          <w:color w:val="auto"/>
          <w:szCs w:val="21"/>
          <w:highlight w:val="none"/>
          <w:lang w:val="en-US" w:eastAsia="zh-CN"/>
        </w:rPr>
        <w:t xml:space="preserve">对技术条款</w:t>
      </w:r>
      <w:r>
        <w:rPr>
          <w:rFonts w:hint="eastAsia" w:ascii="宋体" w:hAnsi="宋体" w:cs="宋体"/>
          <w:color w:val="auto"/>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“偏离说明”一栏选择“正偏离”、“负偏离”进行填写。正偏离的确认和负偏离的是否响应磋商文件，经三分之二评委认定。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1185"/>
        <w:ind w:left="0" w:firstLine="0"/>
        <w:jc w:val="center"/>
        <w:pageBreakBefore w:val="0"/>
        <w:spacing w:line="360" w:lineRule="auto"/>
        <w:rPr>
          <w:rFonts w:hint="eastAsia" w:ascii="宋体" w:hAnsi="宋体" w:cs="宋体"/>
          <w:color w:val="auto"/>
          <w:sz w:val="21"/>
          <w:szCs w:val="21"/>
          <w:highlight w:val="none"/>
        </w:rPr>
      </w:pPr>
      <w:r/>
      <w:bookmarkStart w:id="114" w:name="_Toc15683"/>
      <w:r/>
      <w:bookmarkStart w:id="115" w:name="_Toc20755"/>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.商务条款响应及偏离表</w:t>
      </w:r>
      <w:bookmarkEnd w:id="114"/>
      <w:r/>
      <w:bookmarkEnd w:id="115"/>
      <w:r/>
      <w:r/>
    </w:p>
    <w:tbl>
      <w:tblPr>
        <w:tblStyle w:val="11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bl>
    <w:p>
      <w:pPr>
        <w:pStyle w:val="1156"/>
        <w:pageBreakBefore w:val="0"/>
        <w:spacing w:line="360" w:lineRule="auto"/>
        <w:rPr>
          <w:color w:val="auto"/>
          <w:szCs w:val="21"/>
          <w:highlight w:val="none"/>
        </w:rPr>
      </w:pPr>
      <w:r>
        <w:rPr>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bookmarkEnd w:id="107"/>
      <w:r/>
      <w:bookmarkEnd w:id="108"/>
      <w:r/>
      <w:bookmarkEnd w:id="109"/>
      <w:r/>
      <w:bookmarkEnd w:id="110"/>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.项目组成人员表</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1154"/>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186"/>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1186"/>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jc w:val="center"/>
        <w:pageBreakBefore w:val="0"/>
        <w:spacing w:line="360" w:lineRule="auto"/>
        <w:widowControl/>
        <w:rPr>
          <w:rFonts w:hint="eastAsia" w:ascii="宋体" w:hAnsi="宋体" w:cs="宋体"/>
          <w:b/>
          <w:color w:val="auto"/>
          <w:szCs w:val="21"/>
          <w:highlight w:val="none"/>
        </w:rPr>
      </w:pPr>
      <w:r>
        <w:rPr>
          <w:rFonts w:ascii="宋体" w:hAnsi="宋体"/>
          <w:b/>
          <w:color w:val="auto"/>
          <w:szCs w:val="21"/>
          <w:highlight w:val="none"/>
        </w:rPr>
        <w:br w:type="page" w:clear="all"/>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供应商一般情况表</w:t>
      </w:r>
      <w:r/>
    </w:p>
    <w:tbl>
      <w:tblPr>
        <w:tblStyle w:val="11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ind w:firstLine="132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pageBreakBefore w:val="0"/>
        <w:spacing w:line="360" w:lineRule="auto"/>
        <w:rPr>
          <w:rFonts w:hint="eastAsia" w:ascii="宋体" w:hAnsi="宋体"/>
          <w:b/>
          <w:color w:val="auto"/>
          <w:szCs w:val="21"/>
          <w:highlight w:val="none"/>
          <w:u w:val="single"/>
        </w:rPr>
      </w:pPr>
      <w:r>
        <w:rPr>
          <w:rFonts w:hint="eastAsia" w:ascii="宋体" w:hAnsi="宋体" w:cs="宋体"/>
          <w:b/>
          <w:color w:val="auto"/>
          <w:szCs w:val="21"/>
          <w:highlight w:val="none"/>
        </w:rPr>
        <w:br w:type="page" w:clear="all"/>
      </w:r>
      <w:bookmarkStart w:id="116" w:name="_Toc55705168"/>
      <w:r/>
      <w:bookmarkStart w:id="117" w:name="_Toc56141898"/>
      <w:r/>
      <w:bookmarkStart w:id="118" w:name="_Toc59900983"/>
      <w:r/>
      <w:bookmarkStart w:id="119" w:name="_Toc55639393"/>
      <w:r/>
      <w:bookmarkStart w:id="120" w:name="_Toc54372237"/>
      <w:r/>
      <w:bookmarkStart w:id="121" w:name="_Toc55707673"/>
      <w:r/>
      <w:bookmarkStart w:id="122" w:name="_Toc439777351"/>
      <w:r/>
      <w:bookmarkStart w:id="123" w:name="_Toc59896715"/>
      <w:r/>
      <w:bookmarkStart w:id="124" w:name="_Toc56409114"/>
      <w:r/>
      <w:bookmarkStart w:id="125" w:name="_Toc56139088"/>
      <w:r/>
      <w:bookmarkStart w:id="126" w:name="_Toc56153862"/>
      <w:r/>
      <w:bookmarkStart w:id="127" w:name="_Toc55654540"/>
      <w:r/>
      <w:bookmarkStart w:id="128" w:name="_Toc440442375"/>
      <w:r/>
      <w:bookmarkStart w:id="129" w:name="_Toc54372071"/>
      <w:r/>
      <w:bookmarkStart w:id="130" w:name="_Toc439777159"/>
      <w:r/>
      <w:bookmarkStart w:id="131" w:name="_Toc54372655"/>
      <w:r/>
      <w:bookmarkStart w:id="132" w:name="_Toc434481560"/>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151"/>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.首次响应报价表</w:t>
      </w:r>
      <w:r/>
    </w:p>
    <w:p>
      <w:pPr>
        <w:pStyle w:val="1151"/>
        <w:jc w:val="both"/>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1154"/>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Cs/>
                <w:color w:val="auto"/>
                <w:szCs w:val="21"/>
                <w:highlight w:val="none"/>
                <w:lang w:eastAsia="zh-CN"/>
              </w:rPr>
              <w:t xml:space="preserve">养护机械设备采购项目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pageBreakBefore w:val="0"/>
        <w:spacing w:line="360" w:lineRule="auto"/>
        <w:rPr>
          <w:color w:val="auto"/>
          <w:sz w:val="20"/>
          <w:highlight w:val="none"/>
        </w:rPr>
      </w:pPr>
      <w:r>
        <w:rPr>
          <w:color w:val="auto"/>
          <w:sz w:val="20"/>
          <w:highlight w:val="none"/>
        </w:rPr>
      </w:r>
      <w:r/>
    </w:p>
    <w:p>
      <w:pPr>
        <w:pStyle w:val="1187"/>
        <w:ind w:firstLine="5400"/>
        <w:jc w:val="left"/>
        <w:pageBreakBefore w:val="0"/>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报价</w:t>
      </w:r>
      <w:r>
        <w:rPr>
          <w:rFonts w:hint="eastAsia" w:ascii="宋体" w:hAnsi="宋体" w:cs="Times New Roman"/>
          <w:b/>
          <w:color w:val="auto"/>
          <w:sz w:val="21"/>
          <w:szCs w:val="21"/>
          <w:highlight w:val="none"/>
          <w:lang w:val="en-US" w:eastAsia="zh-CN" w:bidi="ar-SA"/>
        </w:rPr>
        <w:t xml:space="preserve">明细表</w:t>
      </w:r>
      <w:r/>
    </w:p>
    <w:tbl>
      <w:tblPr>
        <w:tblStyle w:val="1154"/>
        <w:tblW w:w="86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08"/>
        <w:gridCol w:w="1219"/>
        <w:gridCol w:w="870"/>
        <w:gridCol w:w="720"/>
        <w:gridCol w:w="720"/>
        <w:gridCol w:w="996"/>
        <w:gridCol w:w="1116"/>
      </w:tblGrid>
      <w:tr>
        <w:trPr>
          <w:jc w:val="center"/>
          <w:trHeight w:val="567"/>
        </w:trPr>
        <w:tc>
          <w:tcPr>
            <w:tcBorders>
              <w:top w:val="single" w:color="auto" w:sz="4" w:space="0"/>
              <w:left w:val="single" w:color="auto" w:sz="4" w:space="0"/>
              <w:bottom w:val="single" w:color="auto" w:sz="6" w:space="0"/>
              <w:right w:val="single" w:color="auto" w:sz="6" w:space="0"/>
            </w:tcBorders>
            <w:tcW w:w="1419"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08"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219" w:type="dxa"/>
            <w:vAlign w:val="center"/>
            <w:textDirection w:val="lrTb"/>
            <w:noWrap w:val="false"/>
          </w:tcPr>
          <w:p>
            <w:pPr>
              <w:pStyle w:val="1200"/>
              <w:jc w:val="center"/>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品牌、</w:t>
            </w:r>
            <w:r>
              <w:rPr>
                <w:rFonts w:hint="eastAsia" w:ascii="宋体" w:hAnsi="宋体" w:cs="宋体"/>
                <w:bCs/>
                <w:szCs w:val="21"/>
                <w:highlight w:val="none"/>
                <w:lang w:val="en-US" w:eastAsia="zh-CN"/>
              </w:rPr>
              <w:t xml:space="preserve">型号</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总价</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1200"/>
              <w:jc w:val="center"/>
              <w:spacing w:line="360" w:lineRule="auto"/>
              <w:rPr>
                <w:rFonts w:ascii="宋体" w:hAnsi="宋体" w:cs="宋体"/>
                <w:bCs/>
                <w:szCs w:val="21"/>
                <w:highlight w:val="none"/>
              </w:rPr>
            </w:pPr>
            <w:r>
              <w:rPr>
                <w:rFonts w:hint="eastAsia" w:ascii="宋体" w:hAnsi="宋体" w:cs="宋体"/>
                <w:bCs/>
                <w:szCs w:val="21"/>
                <w:highlight w:val="none"/>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200"/>
              <w:jc w:val="center"/>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4" w:space="0"/>
              <w:left w:val="single" w:color="auto" w:sz="6" w:space="0"/>
              <w:bottom w:val="single" w:color="auto" w:sz="6" w:space="0"/>
              <w:right w:val="single" w:color="auto" w:sz="6" w:space="0"/>
            </w:tcBorders>
            <w:tcW w:w="1419"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投标总报价</w:t>
            </w:r>
            <w:r/>
          </w:p>
        </w:tc>
        <w:tc>
          <w:tcPr>
            <w:gridSpan w:val="7"/>
            <w:tcBorders>
              <w:top w:val="single" w:color="auto" w:sz="4" w:space="0"/>
              <w:left w:val="single" w:color="auto" w:sz="6" w:space="0"/>
              <w:bottom w:val="single" w:color="auto" w:sz="6" w:space="0"/>
              <w:right w:val="single" w:color="auto" w:sz="6" w:space="0"/>
            </w:tcBorders>
            <w:tcW w:w="7249" w:type="dxa"/>
            <w:vAlign w:val="center"/>
            <w:textDirection w:val="lrTb"/>
            <w:noWrap w:val="false"/>
          </w:tcPr>
          <w:p>
            <w:pPr>
              <w:pStyle w:val="1200"/>
              <w:jc w:val="left"/>
              <w:spacing w:line="360" w:lineRule="auto"/>
              <w:rPr>
                <w:rFonts w:ascii="宋体" w:hAnsi="宋体" w:cs="宋体"/>
                <w:bCs/>
                <w:szCs w:val="21"/>
                <w:highlight w:val="none"/>
              </w:rPr>
            </w:pPr>
            <w:r>
              <w:rPr>
                <w:rFonts w:hint="eastAsia" w:ascii="宋体" w:hAnsi="宋体" w:cs="宋体"/>
                <w:bCs/>
                <w:szCs w:val="21"/>
                <w:highlight w:val="none"/>
              </w:rPr>
              <w:t xml:space="preserve">金额大写                      元      （¥：              元）</w:t>
            </w:r>
            <w:r/>
          </w:p>
        </w:tc>
      </w:tr>
    </w:tbl>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default" w:ascii="宋体" w:hAnsi="宋体" w:cs="Times New Roman"/>
          <w:b/>
          <w:color w:val="auto"/>
          <w:sz w:val="21"/>
          <w:szCs w:val="21"/>
          <w:highlight w:val="none"/>
          <w:lang w:val="en-US" w:eastAsia="zh-CN" w:bidi="ar-SA"/>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pStyle w:val="1155"/>
        <w:rPr>
          <w:rFonts w:hint="default"/>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1.磋</w:t>
      </w:r>
      <w:r>
        <w:rPr>
          <w:rFonts w:hint="eastAsia" w:ascii="宋体" w:hAnsi="宋体" w:cs="宋体"/>
          <w:color w:val="auto"/>
          <w:szCs w:val="21"/>
          <w:highlight w:val="none"/>
        </w:rPr>
        <w:t xml:space="preserve">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内填写完成二次报价，并按苏采云系统要求提交二次报价表。</w:t>
      </w:r>
      <w:r/>
    </w:p>
    <w:p>
      <w:pPr>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.技术说明与服务方案</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.要求采购人提供的配合（如有自拟并自行添加）</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.其他（供应商认为有必要提供的声明和文件，如有自拟并自行添加）</w:t>
      </w:r>
      <w:r/>
    </w:p>
    <w:p>
      <w:pPr>
        <w:pStyle w:val="1188"/>
        <w:ind w:firstLine="482"/>
        <w:jc w:val="center"/>
        <w:pageBreakBefore w:val="0"/>
        <w:spacing w:before="0" w:beforeAutospacing="0" w:after="0" w:afterAutospacing="0" w:line="360" w:lineRule="auto"/>
        <w:shd w:val="clear" w:color="auto" w:fill="ffff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1188"/>
        <w:ind w:firstLine="482"/>
        <w:jc w:val="center"/>
        <w:pageBreakBefore w:val="0"/>
        <w:spacing w:before="0" w:beforeAutospacing="0" w:after="0" w:afterAutospacing="0" w:line="360" w:lineRule="auto"/>
        <w:shd w:val="clear" w:color="auto" w:fill="ffffff"/>
        <w:rPr>
          <w:rFonts w:hint="eastAsia" w:ascii="宋体" w:hAnsi="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20.</w:t>
      </w:r>
      <w:r>
        <w:rPr>
          <w:rFonts w:hint="eastAsia" w:ascii="宋体" w:hAnsi="宋体" w:cs="宋体"/>
          <w:b/>
          <w:color w:val="auto"/>
          <w:sz w:val="21"/>
          <w:szCs w:val="21"/>
          <w:highlight w:val="none"/>
          <w:lang w:eastAsia="zh-CN"/>
        </w:rPr>
        <w:t xml:space="preserve">中小企业划型标准规定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1184"/>
        <w:pageBreakBefore w:val="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sectPr>
      <w:headerReference w:type="default" r:id="rId10"/>
      <w:footerReference w:type="default" r:id="rId19"/>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Light">
    <w:panose1 w:val="0201060003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rStyle w:val="117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21117"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21116" cy="148232"/>
                      </a:xfrm>
                      <a:prstGeom prst="rect">
                        <a:avLst/>
                      </a:prstGeom>
                      <a:noFill/>
                      <a:ln w="6350">
                        <a:noFill/>
                      </a:ln>
                      <a:effectLst/>
                    </wps:spPr>
                    <wps:txbx>
                      <w:txbxContent>
                        <w:p>
                          <w:pPr>
                            <w:pStyle w:val="11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80.4pt;height:11.7pt;mso-wrap-distance-left:9.0pt;mso-wrap-distance-top:0.0pt;mso-wrap-distance-right:9.0pt;mso-wrap-distance-bottom:0.0pt;v-text-anchor:top;visibility:visible;" filled="f" stroked="f" strokeweight="0.50pt">
              <v:textbox inset="0,0,0,0">
                <w:txbxContent>
                  <w:p>
                    <w:pPr>
                      <w:pStyle w:val="11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1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6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w:rPr>
        <w:rFonts w:hint="eastAsia"/>
      </w:rPr>
      <w:t xml:space="preserve">第 </w:t>
    </w:r>
    <w:r>
      <w:fldChar w:fldCharType="begin"/>
    </w:r>
    <w:r>
      <w:rPr>
        <w:rStyle w:val="1173"/>
      </w:rPr>
      <w:instrText xml:space="preserve"> PAGE </w:instrText>
    </w:r>
    <w:r>
      <w:fldChar w:fldCharType="separate"/>
    </w:r>
    <w:r>
      <w:rPr>
        <w:rStyle w:val="1173"/>
      </w:rPr>
      <w:t xml:space="preserve">24</w:t>
    </w:r>
    <w:r>
      <w:fldChar w:fldCharType="end"/>
    </w:r>
    <w:r>
      <w:rPr>
        <w:rFonts w:hint="eastAsia"/>
      </w:rPr>
      <w:t xml:space="preserve"> 页 共 </w:t>
    </w:r>
    <w:r>
      <w:fldChar w:fldCharType="begin"/>
    </w:r>
    <w:r>
      <w:rPr>
        <w:rStyle w:val="1173"/>
      </w:rPr>
      <w:instrText xml:space="preserve"> NUMPAGES </w:instrText>
    </w:r>
    <w:r>
      <w:fldChar w:fldCharType="separate"/>
    </w:r>
    <w:r>
      <w:rPr>
        <w:rStyle w:val="1173"/>
      </w:rPr>
      <w:t xml:space="preserve">41</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73"/>
      </w:rPr>
      <w:framePr w:wrap="around" w:vAnchor="text" w:hAnchor="margin" w:xAlign="center" w:y="1"/>
    </w:pPr>
    <w:r>
      <w:fldChar w:fldCharType="begin"/>
    </w:r>
    <w:r>
      <w:rPr>
        <w:rStyle w:val="1173"/>
      </w:rPr>
      <w:instrText xml:space="preserve">PAGE  </w:instrText>
    </w:r>
    <w:r>
      <w:fldChar w:fldCharType="end"/>
    </w:r>
    <w:r/>
  </w:p>
  <w:p>
    <w:pPr>
      <w:pStyle w:val="116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2"/>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0"/>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170"/>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62"/>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2"/>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2">
    <w:name w:val="Heading 1 Char"/>
    <w:basedOn w:val="1153"/>
    <w:link w:val="1150"/>
    <w:uiPriority w:val="9"/>
    <w:rPr>
      <w:rFonts w:ascii="Arial" w:hAnsi="Arial" w:eastAsia="Arial" w:cs="Arial"/>
      <w:sz w:val="40"/>
      <w:szCs w:val="40"/>
    </w:rPr>
  </w:style>
  <w:style w:type="character" w:styleId="983">
    <w:name w:val="Heading 2 Char"/>
    <w:basedOn w:val="1153"/>
    <w:link w:val="1151"/>
    <w:uiPriority w:val="9"/>
    <w:rPr>
      <w:rFonts w:ascii="Arial" w:hAnsi="Arial" w:eastAsia="Arial" w:cs="Arial"/>
      <w:sz w:val="34"/>
    </w:rPr>
  </w:style>
  <w:style w:type="character" w:styleId="984">
    <w:name w:val="Heading 3 Char"/>
    <w:basedOn w:val="1153"/>
    <w:link w:val="1152"/>
    <w:uiPriority w:val="9"/>
    <w:rPr>
      <w:rFonts w:ascii="Arial" w:hAnsi="Arial" w:eastAsia="Arial" w:cs="Arial"/>
      <w:sz w:val="30"/>
      <w:szCs w:val="30"/>
    </w:rPr>
  </w:style>
  <w:style w:type="paragraph" w:styleId="985">
    <w:name w:val="Heading 4"/>
    <w:basedOn w:val="1149"/>
    <w:next w:val="1149"/>
    <w:link w:val="986"/>
    <w:uiPriority w:val="9"/>
    <w:unhideWhenUsed/>
    <w:qFormat/>
    <w:pPr>
      <w:keepLines/>
      <w:keepNext/>
      <w:spacing w:before="320" w:after="200"/>
      <w:outlineLvl w:val="3"/>
    </w:pPr>
    <w:rPr>
      <w:rFonts w:ascii="Arial" w:hAnsi="Arial" w:eastAsia="Arial" w:cs="Arial"/>
      <w:b/>
      <w:bCs/>
      <w:sz w:val="26"/>
      <w:szCs w:val="26"/>
    </w:rPr>
  </w:style>
  <w:style w:type="character" w:styleId="986">
    <w:name w:val="Heading 4 Char"/>
    <w:basedOn w:val="1153"/>
    <w:link w:val="985"/>
    <w:uiPriority w:val="9"/>
    <w:rPr>
      <w:rFonts w:ascii="Arial" w:hAnsi="Arial" w:eastAsia="Arial" w:cs="Arial"/>
      <w:b/>
      <w:bCs/>
      <w:sz w:val="26"/>
      <w:szCs w:val="26"/>
    </w:rPr>
  </w:style>
  <w:style w:type="paragraph" w:styleId="987">
    <w:name w:val="Heading 5"/>
    <w:basedOn w:val="1149"/>
    <w:next w:val="1149"/>
    <w:link w:val="988"/>
    <w:uiPriority w:val="9"/>
    <w:unhideWhenUsed/>
    <w:qFormat/>
    <w:pPr>
      <w:keepLines/>
      <w:keepNext/>
      <w:spacing w:before="320" w:after="200"/>
      <w:outlineLvl w:val="4"/>
    </w:pPr>
    <w:rPr>
      <w:rFonts w:ascii="Arial" w:hAnsi="Arial" w:eastAsia="Arial" w:cs="Arial"/>
      <w:b/>
      <w:bCs/>
      <w:sz w:val="24"/>
      <w:szCs w:val="24"/>
    </w:rPr>
  </w:style>
  <w:style w:type="character" w:styleId="988">
    <w:name w:val="Heading 5 Char"/>
    <w:basedOn w:val="1153"/>
    <w:link w:val="987"/>
    <w:uiPriority w:val="9"/>
    <w:rPr>
      <w:rFonts w:ascii="Arial" w:hAnsi="Arial" w:eastAsia="Arial" w:cs="Arial"/>
      <w:b/>
      <w:bCs/>
      <w:sz w:val="24"/>
      <w:szCs w:val="24"/>
    </w:rPr>
  </w:style>
  <w:style w:type="paragraph" w:styleId="989">
    <w:name w:val="Heading 6"/>
    <w:basedOn w:val="1149"/>
    <w:next w:val="1149"/>
    <w:link w:val="990"/>
    <w:uiPriority w:val="9"/>
    <w:unhideWhenUsed/>
    <w:qFormat/>
    <w:pPr>
      <w:keepLines/>
      <w:keepNext/>
      <w:spacing w:before="320" w:after="200"/>
      <w:outlineLvl w:val="5"/>
    </w:pPr>
    <w:rPr>
      <w:rFonts w:ascii="Arial" w:hAnsi="Arial" w:eastAsia="Arial" w:cs="Arial"/>
      <w:b/>
      <w:bCs/>
      <w:sz w:val="22"/>
      <w:szCs w:val="22"/>
    </w:rPr>
  </w:style>
  <w:style w:type="character" w:styleId="990">
    <w:name w:val="Heading 6 Char"/>
    <w:basedOn w:val="1153"/>
    <w:link w:val="989"/>
    <w:uiPriority w:val="9"/>
    <w:rPr>
      <w:rFonts w:ascii="Arial" w:hAnsi="Arial" w:eastAsia="Arial" w:cs="Arial"/>
      <w:b/>
      <w:bCs/>
      <w:sz w:val="22"/>
      <w:szCs w:val="22"/>
    </w:rPr>
  </w:style>
  <w:style w:type="paragraph" w:styleId="991">
    <w:name w:val="Heading 7"/>
    <w:basedOn w:val="1149"/>
    <w:next w:val="1149"/>
    <w:link w:val="992"/>
    <w:uiPriority w:val="9"/>
    <w:unhideWhenUsed/>
    <w:qFormat/>
    <w:pPr>
      <w:keepLines/>
      <w:keepNext/>
      <w:spacing w:before="320" w:after="200"/>
      <w:outlineLvl w:val="6"/>
    </w:pPr>
    <w:rPr>
      <w:rFonts w:ascii="Arial" w:hAnsi="Arial" w:eastAsia="Arial" w:cs="Arial"/>
      <w:b/>
      <w:bCs/>
      <w:i/>
      <w:iCs/>
      <w:sz w:val="22"/>
      <w:szCs w:val="22"/>
    </w:rPr>
  </w:style>
  <w:style w:type="character" w:styleId="992">
    <w:name w:val="Heading 7 Char"/>
    <w:basedOn w:val="1153"/>
    <w:link w:val="991"/>
    <w:uiPriority w:val="9"/>
    <w:rPr>
      <w:rFonts w:ascii="Arial" w:hAnsi="Arial" w:eastAsia="Arial" w:cs="Arial"/>
      <w:b/>
      <w:bCs/>
      <w:i/>
      <w:iCs/>
      <w:sz w:val="22"/>
      <w:szCs w:val="22"/>
    </w:rPr>
  </w:style>
  <w:style w:type="paragraph" w:styleId="993">
    <w:name w:val="Heading 8"/>
    <w:basedOn w:val="1149"/>
    <w:next w:val="1149"/>
    <w:link w:val="994"/>
    <w:uiPriority w:val="9"/>
    <w:unhideWhenUsed/>
    <w:qFormat/>
    <w:pPr>
      <w:keepLines/>
      <w:keepNext/>
      <w:spacing w:before="320" w:after="200"/>
      <w:outlineLvl w:val="7"/>
    </w:pPr>
    <w:rPr>
      <w:rFonts w:ascii="Arial" w:hAnsi="Arial" w:eastAsia="Arial" w:cs="Arial"/>
      <w:i/>
      <w:iCs/>
      <w:sz w:val="22"/>
      <w:szCs w:val="22"/>
    </w:rPr>
  </w:style>
  <w:style w:type="character" w:styleId="994">
    <w:name w:val="Heading 8 Char"/>
    <w:basedOn w:val="1153"/>
    <w:link w:val="993"/>
    <w:uiPriority w:val="9"/>
    <w:rPr>
      <w:rFonts w:ascii="Arial" w:hAnsi="Arial" w:eastAsia="Arial" w:cs="Arial"/>
      <w:i/>
      <w:iCs/>
      <w:sz w:val="22"/>
      <w:szCs w:val="22"/>
    </w:rPr>
  </w:style>
  <w:style w:type="paragraph" w:styleId="995">
    <w:name w:val="Heading 9"/>
    <w:basedOn w:val="1149"/>
    <w:next w:val="1149"/>
    <w:link w:val="996"/>
    <w:uiPriority w:val="9"/>
    <w:unhideWhenUsed/>
    <w:qFormat/>
    <w:pPr>
      <w:keepLines/>
      <w:keepNext/>
      <w:spacing w:before="320" w:after="200"/>
      <w:outlineLvl w:val="8"/>
    </w:pPr>
    <w:rPr>
      <w:rFonts w:ascii="Arial" w:hAnsi="Arial" w:eastAsia="Arial" w:cs="Arial"/>
      <w:i/>
      <w:iCs/>
      <w:sz w:val="21"/>
      <w:szCs w:val="21"/>
    </w:rPr>
  </w:style>
  <w:style w:type="character" w:styleId="996">
    <w:name w:val="Heading 9 Char"/>
    <w:basedOn w:val="1153"/>
    <w:link w:val="995"/>
    <w:uiPriority w:val="9"/>
    <w:rPr>
      <w:rFonts w:ascii="Arial" w:hAnsi="Arial" w:eastAsia="Arial" w:cs="Arial"/>
      <w:i/>
      <w:iCs/>
      <w:sz w:val="21"/>
      <w:szCs w:val="21"/>
    </w:rPr>
  </w:style>
  <w:style w:type="paragraph" w:styleId="997">
    <w:name w:val="No Spacing"/>
    <w:uiPriority w:val="1"/>
    <w:qFormat/>
    <w:pPr>
      <w:spacing w:before="0" w:after="0" w:line="240" w:lineRule="auto"/>
    </w:pPr>
  </w:style>
  <w:style w:type="character" w:styleId="998">
    <w:name w:val="Title Char"/>
    <w:basedOn w:val="1153"/>
    <w:link w:val="1169"/>
    <w:uiPriority w:val="10"/>
    <w:rPr>
      <w:sz w:val="48"/>
      <w:szCs w:val="48"/>
    </w:rPr>
  </w:style>
  <w:style w:type="paragraph" w:styleId="999">
    <w:name w:val="Subtitle"/>
    <w:basedOn w:val="1149"/>
    <w:next w:val="1149"/>
    <w:link w:val="1000"/>
    <w:uiPriority w:val="11"/>
    <w:qFormat/>
    <w:pPr>
      <w:spacing w:before="200" w:after="200"/>
    </w:pPr>
    <w:rPr>
      <w:sz w:val="24"/>
      <w:szCs w:val="24"/>
    </w:rPr>
  </w:style>
  <w:style w:type="character" w:styleId="1000">
    <w:name w:val="Subtitle Char"/>
    <w:basedOn w:val="1153"/>
    <w:link w:val="999"/>
    <w:uiPriority w:val="11"/>
    <w:rPr>
      <w:sz w:val="24"/>
      <w:szCs w:val="24"/>
    </w:rPr>
  </w:style>
  <w:style w:type="paragraph" w:styleId="1001">
    <w:name w:val="Quote"/>
    <w:basedOn w:val="1149"/>
    <w:next w:val="1149"/>
    <w:link w:val="1002"/>
    <w:uiPriority w:val="29"/>
    <w:qFormat/>
    <w:pPr>
      <w:ind w:left="720" w:right="720"/>
    </w:pPr>
    <w:rPr>
      <w:i/>
    </w:rPr>
  </w:style>
  <w:style w:type="character" w:styleId="1002">
    <w:name w:val="Quote Char"/>
    <w:link w:val="1001"/>
    <w:uiPriority w:val="29"/>
    <w:rPr>
      <w:i/>
    </w:rPr>
  </w:style>
  <w:style w:type="paragraph" w:styleId="1003">
    <w:name w:val="Intense Quote"/>
    <w:basedOn w:val="1149"/>
    <w:next w:val="1149"/>
    <w:link w:val="10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name w:val="Intense Quote Char"/>
    <w:link w:val="1003"/>
    <w:uiPriority w:val="30"/>
    <w:rPr>
      <w:i/>
    </w:rPr>
  </w:style>
  <w:style w:type="character" w:styleId="1005">
    <w:name w:val="Header Char"/>
    <w:basedOn w:val="1153"/>
    <w:link w:val="1163"/>
    <w:uiPriority w:val="99"/>
  </w:style>
  <w:style w:type="character" w:styleId="1006">
    <w:name w:val="Footer Char"/>
    <w:basedOn w:val="1153"/>
    <w:link w:val="1162"/>
    <w:uiPriority w:val="99"/>
  </w:style>
  <w:style w:type="paragraph" w:styleId="1007">
    <w:name w:val="Caption"/>
    <w:basedOn w:val="1149"/>
    <w:next w:val="1149"/>
    <w:uiPriority w:val="35"/>
    <w:semiHidden/>
    <w:unhideWhenUsed/>
    <w:qFormat/>
    <w:pPr>
      <w:spacing w:line="276" w:lineRule="auto"/>
    </w:pPr>
    <w:rPr>
      <w:b/>
      <w:bCs/>
      <w:color w:val="4f81bd" w:themeColor="accent1"/>
      <w:sz w:val="18"/>
      <w:szCs w:val="18"/>
    </w:rPr>
  </w:style>
  <w:style w:type="character" w:styleId="1008">
    <w:name w:val="Caption Char"/>
    <w:basedOn w:val="1007"/>
    <w:link w:val="1162"/>
    <w:uiPriority w:val="99"/>
  </w:style>
  <w:style w:type="table" w:styleId="1009">
    <w:name w:val="Table Grid Light"/>
    <w:basedOn w:val="11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0">
    <w:name w:val="Plain Table 1"/>
    <w:basedOn w:val="11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2"/>
    <w:basedOn w:val="11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name w:val="Plain Table 3"/>
    <w:basedOn w:val="11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name w:val="Plain Table 4"/>
    <w:basedOn w:val="11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name w:val="Plain Table 5"/>
    <w:basedOn w:val="11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5">
    <w:name w:val="Grid Table 1 Light"/>
    <w:basedOn w:val="11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6">
    <w:name w:val="Grid Table 1 Light - Accent 1"/>
    <w:basedOn w:val="11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7">
    <w:name w:val="Grid Table 1 Light - Accent 2"/>
    <w:basedOn w:val="11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8">
    <w:name w:val="Grid Table 1 Light - Accent 3"/>
    <w:basedOn w:val="11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9">
    <w:name w:val="Grid Table 1 Light - Accent 4"/>
    <w:basedOn w:val="11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0">
    <w:name w:val="Grid Table 1 Light - Accent 5"/>
    <w:basedOn w:val="11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1">
    <w:name w:val="Grid Table 1 Light - Accent 6"/>
    <w:basedOn w:val="11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2">
    <w:name w:val="Grid Table 2"/>
    <w:basedOn w:val="11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3">
    <w:name w:val="Grid Table 2 - Accent 1"/>
    <w:basedOn w:val="11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4">
    <w:name w:val="Grid Table 2 - Accent 2"/>
    <w:basedOn w:val="11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2 - Accent 3"/>
    <w:basedOn w:val="11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2 - Accent 4"/>
    <w:basedOn w:val="11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2 - Accent 5"/>
    <w:basedOn w:val="11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8">
    <w:name w:val="Grid Table 2 - Accent 6"/>
    <w:basedOn w:val="11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9">
    <w:name w:val="Grid Table 3"/>
    <w:basedOn w:val="11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1"/>
    <w:basedOn w:val="11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2"/>
    <w:basedOn w:val="11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3"/>
    <w:basedOn w:val="11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4"/>
    <w:basedOn w:val="11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5"/>
    <w:basedOn w:val="11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6"/>
    <w:basedOn w:val="11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4"/>
    <w:basedOn w:val="11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name w:val="Grid Table 4 - Accent 1"/>
    <w:basedOn w:val="11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8">
    <w:name w:val="Grid Table 4 - Accent 2"/>
    <w:basedOn w:val="11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9">
    <w:name w:val="Grid Table 4 - Accent 3"/>
    <w:basedOn w:val="11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0">
    <w:name w:val="Grid Table 4 - Accent 4"/>
    <w:basedOn w:val="11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1">
    <w:name w:val="Grid Table 4 - Accent 5"/>
    <w:basedOn w:val="11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2">
    <w:name w:val="Grid Table 4 - Accent 6"/>
    <w:basedOn w:val="11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3">
    <w:name w:val="Grid Table 5 Dark"/>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4">
    <w:name w:val="Grid Table 5 Dark- Accent 1"/>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45">
    <w:name w:val="Grid Table 5 Dark - Accent 2"/>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46">
    <w:name w:val="Grid Table 5 Dark - Accent 3"/>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47">
    <w:name w:val="Grid Table 5 Dark- Accent 4"/>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48">
    <w:name w:val="Grid Table 5 Dark - Accent 5"/>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49">
    <w:name w:val="Grid Table 5 Dark - Accent 6"/>
    <w:basedOn w:val="11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50">
    <w:name w:val="Grid Table 6 Colorful"/>
    <w:basedOn w:val="11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1">
    <w:name w:val="Grid Table 6 Colorful - Accent 1"/>
    <w:basedOn w:val="11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52">
    <w:name w:val="Grid Table 6 Colorful - Accent 2"/>
    <w:basedOn w:val="11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53">
    <w:name w:val="Grid Table 6 Colorful - Accent 3"/>
    <w:basedOn w:val="11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54">
    <w:name w:val="Grid Table 6 Colorful - Accent 4"/>
    <w:basedOn w:val="11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55">
    <w:name w:val="Grid Table 6 Colorful - Accent 5"/>
    <w:basedOn w:val="11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56">
    <w:name w:val="Grid Table 6 Colorful - Accent 6"/>
    <w:basedOn w:val="11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57">
    <w:name w:val="Grid Table 7 Colorful"/>
    <w:basedOn w:val="11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8">
    <w:name w:val="Grid Table 7 Colorful - Accent 1"/>
    <w:basedOn w:val="11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9">
    <w:name w:val="Grid Table 7 Colorful - Accent 2"/>
    <w:basedOn w:val="11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7 Colorful - Accent 3"/>
    <w:basedOn w:val="11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7 Colorful - Accent 4"/>
    <w:basedOn w:val="11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7 Colorful - Accent 5"/>
    <w:basedOn w:val="11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3">
    <w:name w:val="Grid Table 7 Colorful - Accent 6"/>
    <w:basedOn w:val="11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4">
    <w:name w:val="List Table 1 Light"/>
    <w:basedOn w:val="11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5">
    <w:name w:val="List Table 1 Light - Accent 1"/>
    <w:basedOn w:val="11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6">
    <w:name w:val="List Table 1 Light - Accent 2"/>
    <w:basedOn w:val="11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7">
    <w:name w:val="List Table 1 Light - Accent 3"/>
    <w:basedOn w:val="11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8">
    <w:name w:val="List Table 1 Light - Accent 4"/>
    <w:basedOn w:val="11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9">
    <w:name w:val="List Table 1 Light - Accent 5"/>
    <w:basedOn w:val="11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0">
    <w:name w:val="List Table 1 Light - Accent 6"/>
    <w:basedOn w:val="11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1">
    <w:name w:val="List Table 2"/>
    <w:basedOn w:val="11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2">
    <w:name w:val="List Table 2 - Accent 1"/>
    <w:basedOn w:val="11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3">
    <w:name w:val="List Table 2 - Accent 2"/>
    <w:basedOn w:val="11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4">
    <w:name w:val="List Table 2 - Accent 3"/>
    <w:basedOn w:val="11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5">
    <w:name w:val="List Table 2 - Accent 4"/>
    <w:basedOn w:val="11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6">
    <w:name w:val="List Table 2 - Accent 5"/>
    <w:basedOn w:val="11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7">
    <w:name w:val="List Table 2 - Accent 6"/>
    <w:basedOn w:val="11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8">
    <w:name w:val="List Table 3"/>
    <w:basedOn w:val="11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9">
    <w:name w:val="List Table 3 - Accent 1"/>
    <w:basedOn w:val="11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80">
    <w:name w:val="List Table 3 - Accent 2"/>
    <w:basedOn w:val="11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81">
    <w:name w:val="List Table 3 - Accent 3"/>
    <w:basedOn w:val="11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82">
    <w:name w:val="List Table 3 - Accent 4"/>
    <w:basedOn w:val="11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83">
    <w:name w:val="List Table 3 - Accent 5"/>
    <w:basedOn w:val="11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84">
    <w:name w:val="List Table 3 - Accent 6"/>
    <w:basedOn w:val="11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85">
    <w:name w:val="List Table 4"/>
    <w:basedOn w:val="11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4 - Accent 1"/>
    <w:basedOn w:val="11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87">
    <w:name w:val="List Table 4 - Accent 2"/>
    <w:basedOn w:val="11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88">
    <w:name w:val="List Table 4 - Accent 3"/>
    <w:basedOn w:val="11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89">
    <w:name w:val="List Table 4 - Accent 4"/>
    <w:basedOn w:val="11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90">
    <w:name w:val="List Table 4 - Accent 5"/>
    <w:basedOn w:val="11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91">
    <w:name w:val="List Table 4 - Accent 6"/>
    <w:basedOn w:val="11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92">
    <w:name w:val="List Table 5 Dark"/>
    <w:basedOn w:val="11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1"/>
    <w:basedOn w:val="11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2"/>
    <w:basedOn w:val="11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3"/>
    <w:basedOn w:val="11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4"/>
    <w:basedOn w:val="11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5"/>
    <w:basedOn w:val="11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6"/>
    <w:basedOn w:val="11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6 Colorful"/>
    <w:basedOn w:val="11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0">
    <w:name w:val="List Table 6 Colorful - Accent 1"/>
    <w:basedOn w:val="11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01">
    <w:name w:val="List Table 6 Colorful - Accent 2"/>
    <w:basedOn w:val="11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02">
    <w:name w:val="List Table 6 Colorful - Accent 3"/>
    <w:basedOn w:val="11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03">
    <w:name w:val="List Table 6 Colorful - Accent 4"/>
    <w:basedOn w:val="11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04">
    <w:name w:val="List Table 6 Colorful - Accent 5"/>
    <w:basedOn w:val="11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05">
    <w:name w:val="List Table 6 Colorful - Accent 6"/>
    <w:basedOn w:val="11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06">
    <w:name w:val="List Table 7 Colorful"/>
    <w:basedOn w:val="11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7">
    <w:name w:val="List Table 7 Colorful - Accent 1"/>
    <w:basedOn w:val="11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08">
    <w:name w:val="List Table 7 Colorful - Accent 2"/>
    <w:basedOn w:val="11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09">
    <w:name w:val="List Table 7 Colorful - Accent 3"/>
    <w:basedOn w:val="11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10">
    <w:name w:val="List Table 7 Colorful - Accent 4"/>
    <w:basedOn w:val="11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11">
    <w:name w:val="List Table 7 Colorful - Accent 5"/>
    <w:basedOn w:val="11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12">
    <w:name w:val="List Table 7 Colorful - Accent 6"/>
    <w:basedOn w:val="11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13">
    <w:name w:val="Lined - Accent"/>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4">
    <w:name w:val="Lined - Accent 1"/>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15">
    <w:name w:val="Lined - Accent 2"/>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16">
    <w:name w:val="Lined - Accent 3"/>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17">
    <w:name w:val="Lined - Accent 4"/>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18">
    <w:name w:val="Lined - Accent 5"/>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19">
    <w:name w:val="Lined - Accent 6"/>
    <w:basedOn w:val="11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20">
    <w:name w:val="Bordered &amp; Lined - Accent"/>
    <w:basedOn w:val="11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1">
    <w:name w:val="Bordered &amp; Lined - Accent 1"/>
    <w:basedOn w:val="11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22">
    <w:name w:val="Bordered &amp; Lined - Accent 2"/>
    <w:basedOn w:val="11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23">
    <w:name w:val="Bordered &amp; Lined - Accent 3"/>
    <w:basedOn w:val="11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24">
    <w:name w:val="Bordered &amp; Lined - Accent 4"/>
    <w:basedOn w:val="11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25">
    <w:name w:val="Bordered &amp; Lined - Accent 5"/>
    <w:basedOn w:val="11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26">
    <w:name w:val="Bordered &amp; Lined - Accent 6"/>
    <w:basedOn w:val="11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27">
    <w:name w:val="Bordered"/>
    <w:basedOn w:val="11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8">
    <w:name w:val="Bordered - Accent 1"/>
    <w:basedOn w:val="11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9">
    <w:name w:val="Bordered - Accent 2"/>
    <w:basedOn w:val="11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0">
    <w:name w:val="Bordered - Accent 3"/>
    <w:basedOn w:val="11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1">
    <w:name w:val="Bordered - Accent 4"/>
    <w:basedOn w:val="11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2">
    <w:name w:val="Bordered - Accent 5"/>
    <w:basedOn w:val="11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3">
    <w:name w:val="Bordered - Accent 6"/>
    <w:basedOn w:val="11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4">
    <w:name w:val="Footnote Text Char"/>
    <w:link w:val="1165"/>
    <w:uiPriority w:val="99"/>
    <w:rPr>
      <w:sz w:val="18"/>
    </w:rPr>
  </w:style>
  <w:style w:type="character" w:styleId="1135">
    <w:name w:val="footnote reference"/>
    <w:basedOn w:val="1153"/>
    <w:uiPriority w:val="99"/>
    <w:unhideWhenUsed/>
    <w:rPr>
      <w:vertAlign w:val="superscript"/>
    </w:rPr>
  </w:style>
  <w:style w:type="paragraph" w:styleId="1136">
    <w:name w:val="endnote text"/>
    <w:basedOn w:val="1149"/>
    <w:link w:val="1137"/>
    <w:uiPriority w:val="99"/>
    <w:semiHidden/>
    <w:unhideWhenUsed/>
    <w:pPr>
      <w:spacing w:after="0" w:line="240" w:lineRule="auto"/>
    </w:pPr>
    <w:rPr>
      <w:sz w:val="20"/>
    </w:rPr>
  </w:style>
  <w:style w:type="character" w:styleId="1137">
    <w:name w:val="Endnote Text Char"/>
    <w:link w:val="1136"/>
    <w:uiPriority w:val="99"/>
    <w:rPr>
      <w:sz w:val="20"/>
    </w:rPr>
  </w:style>
  <w:style w:type="character" w:styleId="1138">
    <w:name w:val="endnote reference"/>
    <w:basedOn w:val="1153"/>
    <w:uiPriority w:val="99"/>
    <w:semiHidden/>
    <w:unhideWhenUsed/>
    <w:rPr>
      <w:vertAlign w:val="superscript"/>
    </w:rPr>
  </w:style>
  <w:style w:type="paragraph" w:styleId="1139">
    <w:name w:val="toc 2"/>
    <w:basedOn w:val="1149"/>
    <w:next w:val="1149"/>
    <w:uiPriority w:val="39"/>
    <w:unhideWhenUsed/>
    <w:pPr>
      <w:ind w:left="283" w:right="0" w:firstLine="0"/>
      <w:spacing w:after="57"/>
    </w:pPr>
  </w:style>
  <w:style w:type="paragraph" w:styleId="1140">
    <w:name w:val="toc 3"/>
    <w:basedOn w:val="1149"/>
    <w:next w:val="1149"/>
    <w:uiPriority w:val="39"/>
    <w:unhideWhenUsed/>
    <w:pPr>
      <w:ind w:left="567" w:right="0" w:firstLine="0"/>
      <w:spacing w:after="57"/>
    </w:pPr>
  </w:style>
  <w:style w:type="paragraph" w:styleId="1141">
    <w:name w:val="toc 4"/>
    <w:basedOn w:val="1149"/>
    <w:next w:val="1149"/>
    <w:uiPriority w:val="39"/>
    <w:unhideWhenUsed/>
    <w:pPr>
      <w:ind w:left="850" w:right="0" w:firstLine="0"/>
      <w:spacing w:after="57"/>
    </w:pPr>
  </w:style>
  <w:style w:type="paragraph" w:styleId="1142">
    <w:name w:val="toc 5"/>
    <w:basedOn w:val="1149"/>
    <w:next w:val="1149"/>
    <w:uiPriority w:val="39"/>
    <w:unhideWhenUsed/>
    <w:pPr>
      <w:ind w:left="1134" w:right="0" w:firstLine="0"/>
      <w:spacing w:after="57"/>
    </w:pPr>
  </w:style>
  <w:style w:type="paragraph" w:styleId="1143">
    <w:name w:val="toc 6"/>
    <w:basedOn w:val="1149"/>
    <w:next w:val="1149"/>
    <w:uiPriority w:val="39"/>
    <w:unhideWhenUsed/>
    <w:pPr>
      <w:ind w:left="1417" w:right="0" w:firstLine="0"/>
      <w:spacing w:after="57"/>
    </w:pPr>
  </w:style>
  <w:style w:type="paragraph" w:styleId="1144">
    <w:name w:val="toc 7"/>
    <w:basedOn w:val="1149"/>
    <w:next w:val="1149"/>
    <w:uiPriority w:val="39"/>
    <w:unhideWhenUsed/>
    <w:pPr>
      <w:ind w:left="1701" w:right="0" w:firstLine="0"/>
      <w:spacing w:after="57"/>
    </w:pPr>
  </w:style>
  <w:style w:type="paragraph" w:styleId="1145">
    <w:name w:val="toc 8"/>
    <w:basedOn w:val="1149"/>
    <w:next w:val="1149"/>
    <w:uiPriority w:val="39"/>
    <w:unhideWhenUsed/>
    <w:pPr>
      <w:ind w:left="1984" w:right="0" w:firstLine="0"/>
      <w:spacing w:after="57"/>
    </w:pPr>
  </w:style>
  <w:style w:type="paragraph" w:styleId="1146">
    <w:name w:val="toc 9"/>
    <w:basedOn w:val="1149"/>
    <w:next w:val="1149"/>
    <w:uiPriority w:val="39"/>
    <w:unhideWhenUsed/>
    <w:pPr>
      <w:ind w:left="2268" w:right="0" w:firstLine="0"/>
      <w:spacing w:after="57"/>
    </w:pPr>
  </w:style>
  <w:style w:type="paragraph" w:styleId="1147">
    <w:name w:val="TOC Heading"/>
    <w:uiPriority w:val="39"/>
    <w:unhideWhenUsed/>
  </w:style>
  <w:style w:type="paragraph" w:styleId="1148">
    <w:name w:val="table of figures"/>
    <w:basedOn w:val="1149"/>
    <w:next w:val="1149"/>
    <w:uiPriority w:val="99"/>
    <w:unhideWhenUsed/>
    <w:pPr>
      <w:spacing w:after="0" w:afterAutospacing="0"/>
    </w:pPr>
  </w:style>
  <w:style w:type="paragraph" w:styleId="114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150">
    <w:name w:val="Heading 1"/>
    <w:basedOn w:val="1149"/>
    <w:next w:val="1149"/>
    <w:uiPriority w:val="0"/>
    <w:qFormat/>
    <w:pPr>
      <w:keepNext/>
      <w:outlineLvl w:val="0"/>
    </w:pPr>
    <w:rPr>
      <w:rFonts w:ascii="楷体_GB2312" w:hAnsi="Times New Roman" w:eastAsia="楷体_GB2312"/>
      <w:sz w:val="28"/>
      <w:szCs w:val="20"/>
    </w:rPr>
  </w:style>
  <w:style w:type="paragraph" w:styleId="1151">
    <w:name w:val="Heading 2"/>
    <w:basedOn w:val="1149"/>
    <w:next w:val="1149"/>
    <w:uiPriority w:val="0"/>
    <w:qFormat/>
    <w:pPr>
      <w:jc w:val="center"/>
      <w:keepLines/>
      <w:keepNext/>
      <w:spacing w:before="260" w:after="260" w:line="416" w:lineRule="auto"/>
      <w:outlineLvl w:val="1"/>
    </w:pPr>
    <w:rPr>
      <w:rFonts w:ascii="Arial" w:hAnsi="Arial" w:eastAsia="幼圆"/>
      <w:b/>
      <w:sz w:val="44"/>
      <w:szCs w:val="20"/>
    </w:rPr>
  </w:style>
  <w:style w:type="paragraph" w:styleId="1152">
    <w:name w:val="Heading 3"/>
    <w:basedOn w:val="1149"/>
    <w:next w:val="1149"/>
    <w:uiPriority w:val="9"/>
    <w:qFormat/>
    <w:pPr>
      <w:keepLines/>
      <w:keepNext/>
      <w:spacing w:before="260" w:after="260" w:line="416" w:lineRule="auto"/>
      <w:outlineLvl w:val="2"/>
    </w:pPr>
    <w:rPr>
      <w:rFonts w:ascii="Times New Roman" w:hAnsi="Times New Roman"/>
      <w:b/>
      <w:sz w:val="32"/>
      <w:szCs w:val="20"/>
    </w:rPr>
  </w:style>
  <w:style w:type="character" w:styleId="1153" w:default="1">
    <w:name w:val="Default Paragraph Font"/>
    <w:uiPriority w:val="1"/>
    <w:semiHidden/>
    <w:unhideWhenUsed/>
    <w:qFormat/>
  </w:style>
  <w:style w:type="table" w:styleId="1154" w:default="1">
    <w:name w:val="Normal Table"/>
    <w:uiPriority w:val="99"/>
    <w:semiHidden/>
    <w:unhideWhenUsed/>
    <w:qFormat/>
    <w:tblPr>
      <w:tblCellMar>
        <w:left w:w="108" w:type="dxa"/>
        <w:top w:w="0" w:type="dxa"/>
        <w:right w:w="108" w:type="dxa"/>
        <w:bottom w:w="0" w:type="dxa"/>
      </w:tblCellMar>
    </w:tblPr>
  </w:style>
  <w:style w:type="paragraph" w:styleId="1155">
    <w:name w:val="Note Heading"/>
    <w:basedOn w:val="1149"/>
    <w:next w:val="1149"/>
    <w:uiPriority w:val="0"/>
    <w:unhideWhenUsed/>
    <w:qFormat/>
    <w:pPr>
      <w:jc w:val="center"/>
    </w:pPr>
    <w:rPr>
      <w:szCs w:val="24"/>
    </w:rPr>
  </w:style>
  <w:style w:type="paragraph" w:styleId="1156">
    <w:name w:val="Normal Indent"/>
    <w:basedOn w:val="1149"/>
    <w:uiPriority w:val="0"/>
    <w:qFormat/>
    <w:pPr>
      <w:ind w:firstLine="420"/>
    </w:pPr>
    <w:rPr>
      <w:rFonts w:ascii="Times New Roman" w:hAnsi="Times New Roman"/>
      <w:szCs w:val="20"/>
    </w:rPr>
  </w:style>
  <w:style w:type="paragraph" w:styleId="1157">
    <w:name w:val="Body Text"/>
    <w:basedOn w:val="1149"/>
    <w:uiPriority w:val="0"/>
    <w:qFormat/>
    <w:pPr>
      <w:spacing w:after="120"/>
    </w:pPr>
  </w:style>
  <w:style w:type="paragraph" w:styleId="1158">
    <w:name w:val="Body Text Indent"/>
    <w:basedOn w:val="1149"/>
    <w:next w:val="1159"/>
    <w:uiPriority w:val="0"/>
    <w:qFormat/>
    <w:pPr>
      <w:ind w:firstLine="645"/>
    </w:pPr>
    <w:rPr>
      <w:rFonts w:ascii="楷体_GB2312" w:hAnsi="Times New Roman" w:eastAsia="楷体_GB2312"/>
      <w:sz w:val="32"/>
      <w:szCs w:val="20"/>
    </w:rPr>
  </w:style>
  <w:style w:type="paragraph" w:styleId="1159">
    <w:name w:val="envelope return"/>
    <w:basedOn w:val="1149"/>
    <w:uiPriority w:val="99"/>
    <w:qFormat/>
    <w:rPr>
      <w:rFonts w:ascii="Arial" w:hAnsi="Arial" w:cs="Arial"/>
    </w:rPr>
  </w:style>
  <w:style w:type="paragraph" w:styleId="1160">
    <w:name w:val="Block Text"/>
    <w:basedOn w:val="1149"/>
    <w:uiPriority w:val="0"/>
    <w:unhideWhenUsed/>
    <w:qFormat/>
    <w:rPr>
      <w:rFonts w:eastAsia="微软雅黑"/>
    </w:rPr>
  </w:style>
  <w:style w:type="paragraph" w:styleId="1161">
    <w:name w:val="Plain Text"/>
    <w:basedOn w:val="1149"/>
    <w:uiPriority w:val="99"/>
    <w:qFormat/>
    <w:rPr>
      <w:rFonts w:ascii="宋体" w:hAnsi="Courier New"/>
      <w:szCs w:val="20"/>
    </w:rPr>
  </w:style>
  <w:style w:type="paragraph" w:styleId="1162">
    <w:name w:val="Footer"/>
    <w:basedOn w:val="1149"/>
    <w:uiPriority w:val="0"/>
    <w:qFormat/>
    <w:pPr>
      <w:jc w:val="left"/>
      <w:tabs>
        <w:tab w:val="center" w:pos="4153" w:leader="none"/>
        <w:tab w:val="right" w:pos="8306" w:leader="none"/>
      </w:tabs>
    </w:pPr>
    <w:rPr>
      <w:rFonts w:ascii="Times New Roman" w:hAnsi="Times New Roman"/>
      <w:sz w:val="18"/>
      <w:szCs w:val="20"/>
    </w:rPr>
  </w:style>
  <w:style w:type="paragraph" w:styleId="1163">
    <w:name w:val="Header"/>
    <w:basedOn w:val="114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64">
    <w:name w:val="toc 1"/>
    <w:basedOn w:val="1149"/>
    <w:next w:val="1149"/>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65">
    <w:name w:val="footnote text"/>
    <w:basedOn w:val="1149"/>
    <w:uiPriority w:val="99"/>
    <w:semiHidden/>
    <w:unhideWhenUsed/>
    <w:qFormat/>
    <w:pPr>
      <w:spacing w:after="40"/>
    </w:pPr>
    <w:rPr>
      <w:sz w:val="18"/>
    </w:rPr>
  </w:style>
  <w:style w:type="paragraph" w:styleId="1166">
    <w:name w:val="Body Text 2"/>
    <w:basedOn w:val="1149"/>
    <w:uiPriority w:val="0"/>
    <w:qFormat/>
    <w:pPr>
      <w:spacing w:after="120" w:line="480" w:lineRule="auto"/>
    </w:pPr>
  </w:style>
  <w:style w:type="paragraph" w:styleId="1167">
    <w:name w:val="HTML Preformatted"/>
    <w:basedOn w:val="11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168">
    <w:name w:val="Normal (Web)"/>
    <w:basedOn w:val="1149"/>
    <w:uiPriority w:val="0"/>
    <w:qFormat/>
    <w:pPr>
      <w:jc w:val="left"/>
      <w:spacing w:beforeAutospacing="1" w:afterAutospacing="1"/>
    </w:pPr>
    <w:rPr>
      <w:rFonts w:cs="Times New Roman"/>
      <w:sz w:val="24"/>
    </w:rPr>
  </w:style>
  <w:style w:type="paragraph" w:styleId="1169">
    <w:name w:val="Title"/>
    <w:basedOn w:val="1149"/>
    <w:next w:val="1149"/>
    <w:uiPriority w:val="0"/>
    <w:qFormat/>
    <w:pPr>
      <w:jc w:val="center"/>
      <w:spacing w:before="240" w:after="60"/>
      <w:outlineLvl w:val="0"/>
    </w:pPr>
    <w:rPr>
      <w:rFonts w:ascii="等线 Light" w:hAnsi="等线 Light"/>
      <w:b/>
      <w:bCs/>
      <w:sz w:val="32"/>
      <w:szCs w:val="32"/>
    </w:rPr>
  </w:style>
  <w:style w:type="paragraph" w:styleId="1170">
    <w:name w:val="Body Text First Indent"/>
    <w:basedOn w:val="1157"/>
    <w:next w:val="1171"/>
    <w:uiPriority w:val="0"/>
    <w:unhideWhenUsed/>
    <w:qFormat/>
    <w:pPr>
      <w:ind w:firstLine="420"/>
    </w:pPr>
    <w:rPr>
      <w:rFonts w:ascii="楷体_GB2312" w:hAnsi="Arial" w:eastAsia="楷体_GB2312"/>
      <w:sz w:val="28"/>
      <w:szCs w:val="20"/>
    </w:rPr>
  </w:style>
  <w:style w:type="paragraph" w:styleId="1171">
    <w:name w:val="Body Text First Indent 2"/>
    <w:basedOn w:val="1158"/>
    <w:uiPriority w:val="0"/>
    <w:qFormat/>
    <w:pPr>
      <w:ind w:firstLine="420"/>
    </w:pPr>
    <w:rPr>
      <w:rFonts w:cs="宋体"/>
      <w:szCs w:val="21"/>
    </w:rPr>
  </w:style>
  <w:style w:type="table" w:styleId="1172">
    <w:name w:val="Table Grid"/>
    <w:basedOn w:val="11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3">
    <w:name w:val="page number"/>
    <w:uiPriority w:val="0"/>
    <w:qFormat/>
    <w:rPr>
      <w:rFonts w:ascii="Times New Roman" w:hAnsi="Times New Roman" w:eastAsia="宋体" w:cs="Times New Roman"/>
    </w:rPr>
  </w:style>
  <w:style w:type="character" w:styleId="1174">
    <w:name w:val="Hyperlink"/>
    <w:uiPriority w:val="99"/>
    <w:qFormat/>
    <w:rPr>
      <w:rFonts w:ascii="Times New Roman" w:hAnsi="Times New Roman" w:eastAsia="宋体" w:cs="Times New Roman"/>
      <w:color w:val="0000ff"/>
      <w:u w:val="single"/>
    </w:rPr>
  </w:style>
  <w:style w:type="paragraph" w:styleId="1175" w:customStyle="1">
    <w:name w:val="注释标题1"/>
    <w:basedOn w:val="1149"/>
    <w:next w:val="1149"/>
    <w:uiPriority w:val="0"/>
    <w:qFormat/>
    <w:rPr>
      <w:rFonts w:ascii="Verdana" w:hAnsi="Verdana"/>
      <w:szCs w:val="20"/>
    </w:rPr>
  </w:style>
  <w:style w:type="paragraph" w:styleId="1176" w:customStyle="1">
    <w:name w:val="普通正文"/>
    <w:basedOn w:val="1149"/>
    <w:uiPriority w:val="0"/>
    <w:qFormat/>
    <w:pPr>
      <w:ind w:firstLine="482"/>
      <w:jc w:val="left"/>
      <w:spacing w:line="360" w:lineRule="auto"/>
    </w:pPr>
    <w:rPr>
      <w:rFonts w:ascii="Arial" w:hAnsi="Arial"/>
      <w:sz w:val="24"/>
    </w:rPr>
  </w:style>
  <w:style w:type="paragraph" w:styleId="1177" w:customStyle="1">
    <w:name w:val="TOC 标题1"/>
    <w:basedOn w:val="1150"/>
    <w:next w:val="114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78" w:customStyle="1">
    <w:name w:val="目录 31"/>
    <w:basedOn w:val="1149"/>
    <w:next w:val="1149"/>
    <w:uiPriority w:val="0"/>
    <w:qFormat/>
    <w:pPr>
      <w:ind w:left="840"/>
    </w:pPr>
    <w:rPr>
      <w:lang w:eastAsia="en-US"/>
    </w:rPr>
  </w:style>
  <w:style w:type="paragraph" w:styleId="1179" w:customStyle="1">
    <w:name w:val="标题 31"/>
    <w:basedOn w:val="1149"/>
    <w:next w:val="1180"/>
    <w:uiPriority w:val="0"/>
    <w:qFormat/>
    <w:pPr>
      <w:keepLines/>
      <w:keepNext/>
      <w:spacing w:before="260" w:after="260" w:line="413" w:lineRule="auto"/>
      <w:outlineLvl w:val="2"/>
    </w:pPr>
    <w:rPr>
      <w:b/>
      <w:sz w:val="32"/>
      <w:szCs w:val="20"/>
    </w:rPr>
  </w:style>
  <w:style w:type="paragraph" w:styleId="1180" w:customStyle="1">
    <w:name w:val="正文缩进1"/>
    <w:basedOn w:val="1149"/>
    <w:uiPriority w:val="0"/>
    <w:qFormat/>
    <w:pPr>
      <w:ind w:firstLine="420"/>
    </w:pPr>
    <w:rPr>
      <w:szCs w:val="20"/>
    </w:rPr>
  </w:style>
  <w:style w:type="paragraph" w:styleId="1181" w:customStyle="1">
    <w:name w:val="DAS正文"/>
    <w:basedOn w:val="1149"/>
    <w:uiPriority w:val="5"/>
    <w:qFormat/>
    <w:pPr>
      <w:ind w:right="181" w:firstLine="480"/>
      <w:spacing w:line="360" w:lineRule="auto"/>
    </w:pPr>
    <w:rPr>
      <w:rFonts w:ascii="Verdana" w:hAnsi="Verdana"/>
    </w:rPr>
  </w:style>
  <w:style w:type="paragraph" w:styleId="1182" w:customStyle="1">
    <w:name w:val="sh4"/>
    <w:basedOn w:val="1149"/>
    <w:uiPriority w:val="0"/>
    <w:qFormat/>
    <w:pPr>
      <w:ind w:firstLine="420"/>
      <w:spacing w:line="460" w:lineRule="exact"/>
    </w:pPr>
    <w:rPr>
      <w:rFonts w:ascii="宋体" w:hAnsi="宋体"/>
      <w:szCs w:val="21"/>
      <w:lang w:eastAsia="en-US"/>
    </w:rPr>
  </w:style>
  <w:style w:type="paragraph" w:styleId="1183" w:customStyle="1">
    <w:name w:val="段"/>
    <w:next w:val="1149"/>
    <w:uiPriority w:val="0"/>
    <w:qFormat/>
    <w:pPr>
      <w:ind w:firstLine="200"/>
      <w:jc w:val="both"/>
    </w:pPr>
    <w:rPr>
      <w:rFonts w:ascii="宋体" w:hAnsi="Times New Roman" w:eastAsia="宋体" w:cs="Times New Roman"/>
      <w:sz w:val="21"/>
      <w:szCs w:val="22"/>
      <w:lang w:val="en-US" w:eastAsia="zh-CN" w:bidi="ar-SA"/>
    </w:rPr>
  </w:style>
  <w:style w:type="paragraph" w:styleId="1184" w:customStyle="1">
    <w:name w:val="Char"/>
    <w:basedOn w:val="1149"/>
    <w:uiPriority w:val="0"/>
    <w:qFormat/>
    <w:pPr>
      <w:tabs>
        <w:tab w:val="left" w:pos="360" w:leader="none"/>
      </w:tabs>
    </w:pPr>
    <w:rPr>
      <w:rFonts w:ascii="Times New Roman" w:hAnsi="Times New Roman"/>
      <w:sz w:val="24"/>
    </w:rPr>
  </w:style>
  <w:style w:type="paragraph" w:styleId="1185" w:customStyle="1">
    <w:name w:val="二级目录"/>
    <w:next w:val="1149"/>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86" w:customStyle="1">
    <w:name w:val="简单回函地址"/>
    <w:basedOn w:val="1149"/>
    <w:uiPriority w:val="0"/>
    <w:qFormat/>
    <w:rPr>
      <w:rFonts w:ascii="Times New Roman" w:hAnsi="Times New Roman" w:cs="宋体"/>
      <w:szCs w:val="21"/>
    </w:rPr>
  </w:style>
  <w:style w:type="paragraph" w:styleId="1187" w:customStyle="1">
    <w:name w:val="索引 41"/>
    <w:basedOn w:val="1149"/>
    <w:next w:val="1149"/>
    <w:uiPriority w:val="0"/>
    <w:qFormat/>
    <w:pPr>
      <w:ind w:left="1260"/>
    </w:pPr>
  </w:style>
  <w:style w:type="paragraph" w:styleId="1188" w:customStyle="1">
    <w:name w:val="普通(网站)1"/>
    <w:basedOn w:val="1149"/>
    <w:uiPriority w:val="0"/>
    <w:unhideWhenUsed/>
    <w:qFormat/>
    <w:pPr>
      <w:jc w:val="left"/>
      <w:spacing w:before="100" w:beforeAutospacing="1" w:after="100" w:afterAutospacing="1"/>
    </w:pPr>
    <w:rPr>
      <w:sz w:val="24"/>
      <w:lang w:eastAsia="en-US"/>
    </w:rPr>
  </w:style>
  <w:style w:type="paragraph" w:styleId="1189" w:customStyle="1">
    <w:name w:val="页脚11"/>
    <w:basedOn w:val="1149"/>
    <w:uiPriority w:val="0"/>
    <w:qFormat/>
    <w:pPr>
      <w:jc w:val="left"/>
      <w:tabs>
        <w:tab w:val="center" w:pos="4153" w:leader="none"/>
        <w:tab w:val="right" w:pos="8306" w:leader="none"/>
      </w:tabs>
    </w:pPr>
    <w:rPr>
      <w:sz w:val="18"/>
      <w:szCs w:val="18"/>
      <w:lang w:eastAsia="en-US"/>
    </w:rPr>
  </w:style>
  <w:style w:type="paragraph" w:styleId="1190">
    <w:name w:val="List Paragraph"/>
    <w:basedOn w:val="1149"/>
    <w:uiPriority w:val="34"/>
    <w:qFormat/>
    <w:pPr>
      <w:ind w:firstLine="420"/>
    </w:pPr>
  </w:style>
  <w:style w:type="paragraph" w:styleId="1191" w:customStyle="1">
    <w:name w:val="列出段落2"/>
    <w:basedOn w:val="1149"/>
    <w:uiPriority w:val="34"/>
    <w:qFormat/>
    <w:pPr>
      <w:contextualSpacing/>
      <w:ind w:left="720"/>
      <w:jc w:val="left"/>
      <w:widowControl/>
    </w:pPr>
    <w:rPr>
      <w:sz w:val="24"/>
      <w:lang w:eastAsia="en-US" w:bidi="en-US"/>
    </w:rPr>
  </w:style>
  <w:style w:type="paragraph" w:styleId="1192" w:customStyle="1">
    <w:name w:val="列表段落1"/>
    <w:basedOn w:val="1149"/>
    <w:uiPriority w:val="34"/>
    <w:qFormat/>
    <w:pPr>
      <w:ind w:firstLine="420"/>
    </w:pPr>
  </w:style>
  <w:style w:type="paragraph" w:styleId="1193" w:customStyle="1">
    <w:name w:val="style4"/>
    <w:basedOn w:val="1149"/>
    <w:next w:val="1194"/>
    <w:uiPriority w:val="99"/>
    <w:qFormat/>
    <w:pPr>
      <w:spacing w:before="280" w:after="280"/>
      <w:widowControl/>
    </w:pPr>
    <w:rPr>
      <w:rFonts w:ascii="宋体"/>
      <w:sz w:val="18"/>
    </w:rPr>
  </w:style>
  <w:style w:type="paragraph" w:styleId="1194" w:customStyle="1">
    <w:name w:val="2"/>
    <w:next w:val="1149"/>
    <w:uiPriority w:val="99"/>
    <w:qFormat/>
    <w:pPr>
      <w:jc w:val="both"/>
      <w:widowControl w:val="off"/>
    </w:pPr>
    <w:rPr>
      <w:rFonts w:ascii="Times New Roman" w:hAnsi="Times New Roman" w:eastAsia="宋体" w:cs="Times New Roman"/>
      <w:sz w:val="21"/>
      <w:szCs w:val="22"/>
      <w:lang w:val="en-US" w:eastAsia="zh-CN" w:bidi="ar-SA"/>
    </w:rPr>
  </w:style>
  <w:style w:type="character" w:styleId="1195" w:customStyle="1">
    <w:name w:val="font51"/>
    <w:basedOn w:val="1153"/>
    <w:uiPriority w:val="0"/>
    <w:qFormat/>
    <w:rPr>
      <w:rFonts w:ascii="宋体" w:hAnsi="宋体" w:eastAsia="宋体" w:cs="宋体"/>
      <w:color w:val="000000"/>
      <w:sz w:val="18"/>
      <w:szCs w:val="18"/>
      <w:u w:val="none"/>
    </w:rPr>
  </w:style>
  <w:style w:type="paragraph" w:styleId="1196" w:customStyle="1">
    <w:name w:val="*正文"/>
    <w:basedOn w:val="1149"/>
    <w:uiPriority w:val="0"/>
    <w:qFormat/>
    <w:pPr>
      <w:ind w:firstLine="480"/>
      <w:spacing w:line="360" w:lineRule="auto"/>
    </w:pPr>
    <w:rPr>
      <w:rFonts w:ascii="宋体" w:hAnsi="宋体"/>
      <w:sz w:val="24"/>
    </w:rPr>
  </w:style>
  <w:style w:type="character" w:styleId="1197" w:customStyle="1">
    <w:name w:val="font11"/>
    <w:uiPriority w:val="0"/>
    <w:qFormat/>
    <w:rPr>
      <w:rFonts w:hint="eastAsia" w:ascii="宋体" w:hAnsi="宋体" w:eastAsia="宋体" w:cs="宋体"/>
      <w:color w:val="000000"/>
      <w:sz w:val="24"/>
      <w:szCs w:val="24"/>
      <w:u w:val="none"/>
    </w:rPr>
  </w:style>
  <w:style w:type="paragraph" w:styleId="1198" w:customStyle="1">
    <w:name w:val="正文文本1"/>
    <w:basedOn w:val="1149"/>
    <w:uiPriority w:val="0"/>
    <w:qFormat/>
    <w:rPr>
      <w:rFonts w:ascii="楷体_GB2312" w:hAnsi="Arial" w:eastAsia="楷体_GB2312"/>
      <w:sz w:val="28"/>
      <w:szCs w:val="20"/>
    </w:rPr>
  </w:style>
  <w:style w:type="paragraph" w:styleId="1199" w:customStyle="1">
    <w:name w:val="列表段落"/>
    <w:basedOn w:val="1149"/>
    <w:uiPriority w:val="1"/>
    <w:qFormat/>
    <w:pPr>
      <w:ind w:firstLine="420"/>
    </w:pPr>
    <w:rPr>
      <w:szCs w:val="22"/>
    </w:rPr>
  </w:style>
  <w:style w:type="paragraph" w:styleId="1200" w:customStyle="1">
    <w:name w:val="Plain Text1"/>
    <w:basedOn w:val="1149"/>
    <w:uiPriority w:val="0"/>
    <w:qFormat/>
    <w:pPr>
      <w:spacing w:line="312" w:lineRule="atLeast"/>
    </w:pPr>
    <w:rPr>
      <w:rFonts w:ascii="Arial Black" w:hAnsi="Courier New"/>
      <w:szCs w:val="20"/>
    </w:rPr>
  </w:style>
  <w:style w:type="paragraph" w:styleId="1201" w:customStyle="1">
    <w:name w:val="Plain Text11"/>
    <w:basedOn w:val="1149"/>
    <w:uiPriority w:val="0"/>
    <w:qFormat/>
    <w:rPr>
      <w:rFonts w:ascii="宋体" w:hAnsi="Courier New" w:eastAsia="楷体_GB2312"/>
      <w:sz w:val="28"/>
      <w:szCs w:val="20"/>
    </w:rPr>
  </w:style>
  <w:style w:type="paragraph" w:styleId="1202" w:customStyle="1">
    <w:name w:val="列出段落1"/>
    <w:basedOn w:val="1149"/>
    <w:uiPriority w:val="34"/>
    <w:qFormat/>
    <w:pPr>
      <w:ind w:firstLine="420"/>
    </w:pPr>
  </w:style>
  <w:style w:type="paragraph" w:styleId="1203" w:customStyle="1">
    <w:name w:val="Table Text"/>
    <w:basedOn w:val="1149"/>
    <w:uiPriority w:val="0"/>
    <w:semiHidden/>
    <w:qFormat/>
    <w:rPr>
      <w:rFonts w:ascii="宋体" w:hAnsi="宋体" w:eastAsia="宋体" w:cs="宋体"/>
      <w:sz w:val="24"/>
      <w:szCs w:val="24"/>
      <w:lang w:val="en-US" w:eastAsia="en-US" w:bidi="ar-SA"/>
    </w:rPr>
  </w:style>
  <w:style w:type="table" w:styleId="1204" w:customStyle="1">
    <w:name w:val="Table Normal"/>
    <w:uiPriority w:val="0"/>
    <w:semiHidden/>
    <w:unhideWhenUsed/>
    <w:qFormat/>
    <w:tblPr>
      <w:tblCellMar>
        <w:left w:w="0" w:type="dxa"/>
        <w:top w:w="0" w:type="dxa"/>
        <w:right w:w="0" w:type="dxa"/>
        <w:bottom w:w="0" w:type="dxa"/>
      </w:tblCellMar>
    </w:tblPr>
  </w:style>
  <w:style w:type="paragraph" w:styleId="1205" w:customStyle="1">
    <w:name w:val="正文文本首行缩进1"/>
    <w:next w:val="1206"/>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206" w:customStyle="1">
    <w:name w:val="正文缩进11"/>
    <w:next w:val="1149"/>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207"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208" w:customStyle="1">
    <w:name w:val="Table Paragraph"/>
    <w:basedOn w:val="1149"/>
    <w:uiPriority w:val="1"/>
    <w:qFormat/>
    <w:pPr>
      <w:jc w:val="left"/>
    </w:pPr>
    <w:rPr>
      <w:rFonts w:ascii="宋体" w:hAnsi="Times New Roman" w:cs="宋体"/>
      <w:sz w:val="24"/>
      <w:szCs w:val="24"/>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14</cp:revision>
  <dcterms:created xsi:type="dcterms:W3CDTF">2025-01-09T19:25:00Z</dcterms:created>
  <dcterms:modified xsi:type="dcterms:W3CDTF">2025-11-21T07:46:05Z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2052-12.1.0.23122</vt:lpwstr>
  </property>
  <property fmtid="{D5CDD505-2E9C-101B-9397-08002B2CF9AE}" pid="3" name="ICV">
    <vt:lpwstr>75E03916678144F884417F31610A1EDE_13</vt:lpwstr>
  </property>
  <property fmtid="{D5CDD505-2E9C-101B-9397-08002B2CF9AE}" pid="4" name="KSOTemplateDocerSaveRecord">
    <vt:lpwstr>eyJoZGlkIjoiNzI1MzljODBiNDliMzEyMzFlZWNlN2EzYjU0N2YzMWEiLCJ1c2VySWQiOiI0OTA3MzQ5MDEifQ==</vt:lpwstr>
  </property>
</Properties>
</file>